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60" w:lineRule="exact"/>
        <w:ind w:left="0" w:leftChars="0" w:firstLine="0" w:firstLineChars="0"/>
        <w:rPr>
          <w:rFonts w:hint="default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680" w:lineRule="exact"/>
        <w:jc w:val="center"/>
        <w:rPr>
          <w:rFonts w:hint="eastAsia" w:ascii="方正小标宋_GBK" w:hAnsi="楷体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楷体" w:eastAsia="方正小标宋_GBK" w:cs="Times New Roman"/>
          <w:sz w:val="44"/>
          <w:szCs w:val="44"/>
        </w:rPr>
        <w:t>民政部关于开展全国性社会团体、</w:t>
      </w:r>
    </w:p>
    <w:p>
      <w:pPr>
        <w:spacing w:line="680" w:lineRule="exact"/>
        <w:jc w:val="center"/>
        <w:rPr>
          <w:rFonts w:hint="eastAsia" w:ascii="方正小标宋_GBK" w:hAnsi="楷体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楷体" w:eastAsia="方正小标宋_GBK" w:cs="Times New Roman"/>
          <w:sz w:val="44"/>
          <w:szCs w:val="44"/>
        </w:rPr>
        <w:t>国际性社会团体分支（代表）机构专项整治行动的通知</w:t>
      </w:r>
    </w:p>
    <w:bookmarkEnd w:id="0"/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0"/>
        <w:jc w:val="center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民函〔2022〕19号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各全国性社会团体业务主管单位、各国际性社会团体业务主管单位，各已脱钩全国性行业协会商会：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近年来，各全国性社会团体、国际性社会团体分支（代表）机构在数量快速增长、作用不断显现的同时，违法违规乱象也日益多发频发，对经济社会稳定发展大局带来不良影响。为进一步加强全国性和国际性社会团体分支（代表）机构规范管理，维护全国性和国际性社会团体分支（代表）机构良好发展秩序，推动其在经济社会发展中积极发挥正能量，民政部决定开展全国性和国际性社会团体分支（代表）机构专项整治行动。现就有关事项通知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2"/>
        <w:jc w:val="both"/>
        <w:rPr>
          <w:rFonts w:hint="eastAsia" w:ascii="仿宋_GB2312" w:hAnsi="华文仿宋" w:eastAsia="仿宋_GB2312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/>
          <w:bCs/>
          <w:kern w:val="2"/>
          <w:sz w:val="30"/>
          <w:szCs w:val="30"/>
          <w:lang w:val="en-US" w:eastAsia="zh-CN" w:bidi="ar-SA"/>
        </w:rPr>
        <w:t>一、总体目标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以习近平新时代中国特色社会主义思想为指导，全面贯彻党的十九大和十九届历次全会精神，通过全国性和国际性社会团体分支（代表）机构专项整治行动开展，清除一批名存实亡的分支（代表）机构，整改一批不规范的分支（代表）机构，激活一批效能不高的分支（代表）机构，着力防范化解全国性和国际性社会团体分支（代表）机构风险隐患，促进全国性和国际性社会团体高质量发展，为党的二十大胜利召开营造安全稳定的社会环境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2"/>
        <w:jc w:val="both"/>
        <w:rPr>
          <w:rFonts w:hint="eastAsia" w:ascii="仿宋_GB2312" w:hAnsi="华文仿宋" w:eastAsia="仿宋_GB2312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/>
          <w:bCs/>
          <w:kern w:val="2"/>
          <w:sz w:val="30"/>
          <w:szCs w:val="30"/>
          <w:lang w:val="en-US" w:eastAsia="zh-CN" w:bidi="ar-SA"/>
        </w:rPr>
        <w:t>二、时间安排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2022年4月-8月。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2"/>
        <w:jc w:val="both"/>
        <w:rPr>
          <w:rFonts w:hint="eastAsia" w:ascii="仿宋_GB2312" w:hAnsi="华文仿宋" w:eastAsia="仿宋_GB2312" w:cs="Times New Roman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/>
          <w:bCs/>
          <w:kern w:val="2"/>
          <w:sz w:val="30"/>
          <w:szCs w:val="30"/>
          <w:lang w:val="en-US" w:eastAsia="zh-CN" w:bidi="ar-SA"/>
        </w:rPr>
        <w:t>三、整治任务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全国性和国际性社会团体设立的分支机构（包括专项基金管理委员会）、代表机构，符合下列情形之一的，纳入本次专项整治范围：  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1.已完成社会团体授权任务和宗旨使命的；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2.超出社会团体章程规定宗旨和业务范围的；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3.另行制定章程的；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4.名称或业务范围有相同相似的；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5.未按照规定程序设立的；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6.以“中心”、“联盟”、“研究会”、“促进会”、“研究院”等各类法人组织名称命名的；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7.名称中使用“中国”、“中华”、“全国”、“国家”等字样的；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8.除代表机构外，名称带有地域性特征的；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9.分支（代表）机构下再设立或者变相设立分支（代表）机构的；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10.内部管理混乱影响正常运转的；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11.拒不服从社会团体领导和管理的；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12.连续两年及以上未开展活动的；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13.与非法社会组织存在勾连的；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14.未经社会团体授权或者批准，擅自发展会员、收取会费、接受捐赠、以社会团体名义开展活动的；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15.财务收支未纳入社会团体统一账户管理的；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16.开设独立银行账户的；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17.单独制定会费标准的；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18.通过收取管理费、赞助费等方式将分支（代表）机构委托其他组织运营的；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19.存在违规收费或违规开展评比达标表彰活动等情形的；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20.违反其他管理规定的。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全国性和国际性社会团体发现分支（代表）机构存在上述第1、8、9、10、11、12、13项情形以及其他违法违规问题情节较为严重的，要立即予以终止；存在其他违法违规问题但情节较为轻微的，要限期全面整改，及时纠正违规行为，消除风险隐患。相关终止和整改情况要及时提交理事会（常务理事会）审议，并主动向社会公开，自觉接受会员和社会监督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2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/>
          <w:bCs/>
          <w:kern w:val="2"/>
          <w:sz w:val="30"/>
          <w:szCs w:val="30"/>
          <w:lang w:val="en-US" w:eastAsia="zh-CN" w:bidi="ar-SA"/>
        </w:rPr>
        <w:t>四、工作要求   </w:t>
      </w: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（一）提高政治站位。各业务主管单位、各全国性和国际性社会团体要高度重视分支（代表）机构专项整治行动，将其作为深刻认识“两个确立”的决定性意义，增强“四个意识”、坚定“四个自信”、做到“两个维护”的具体体现，作为营造党的二十大胜利召开良好社会环境的重要举措，进一步提高政治站位，切实以高度责任感和强烈紧迫感抓好专项整治行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（二）扎实组织实施。各全国性和国际性社会团体要严格对照本《通知》确定的整治任务要求进行全面自查，对发现的问题立即整改，并于5月31日前将《全国性、国际性社会团体分支（代表）机构自查自纠情况表》（附件1）报送业务主管单位审核。各业务主管单位要切实履行管理职责，对所主管全国性和国际性社会团体自查自纠情况进行认真审查，指导督促各全国性和国际性社会团体进一步完善整改举措，抓好整改落实，并对整改完成情况逐一确认。已脱钩全国性行业协会商会自查自纠情况表报送方式另行通知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（三）加强监督检查。民政部将结合年检等工作开展，对全国性和国际性社会团体分支（代表）机构专项整治情况进行抽查检查。对于抽查检查中发现存在弄虚作假、瞒报漏报、整改不到位、不服从业务主管单位指导监管等情形的，将按照有关规定综合运用行政处罚、信用惩戒、公开曝光、年检降档、评估降级等措施，从严从重加大处理处罚力度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（四）强化长效治理。各业务主管单位要结合此次专项整治行动开展，进一步完善所主管全国性和国际性社会团体分支（代表）机构长效治理举措和监督管理办法。要积极引导各全国性和国际性社会团体进一步建立健全分支（代表）机构管理制度，加强内部监督，强化政治引领，确保各分支（代表）机构规范运行、有序发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（五）及时报送情况。请各业务主管单位于7月31日前将专项整治工作总结（包括工作开展情况、取得的实效、经验做法、问题困难以及意见建议等）和《XX主管全国性、国际性社会团体分支（代表）机构专项整治行动进展情况统计表》（附件2）报送民政部社会组织管理局，同时发送电子版至电子邮箱。请各业务主管单位确定1名专项整治工作联络人，并于4月15日前反馈联络人信息（姓名、职务、联系电话、手机、微信号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both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             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center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 xml:space="preserve">                                   民政部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7" w:beforeAutospacing="0" w:after="0" w:afterAutospacing="0" w:line="500" w:lineRule="atLeast"/>
        <w:ind w:left="0" w:right="0" w:firstLine="560"/>
        <w:jc w:val="right"/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0"/>
          <w:szCs w:val="30"/>
          <w:lang w:val="en-US" w:eastAsia="zh-CN" w:bidi="ar-SA"/>
        </w:rPr>
        <w:t>2022年4月5日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jE1NGZjNWQ4MWVmZjc1Yjk4MmQyYjVmNTYyZWQifQ=="/>
  </w:docVars>
  <w:rsids>
    <w:rsidRoot w:val="003D065C"/>
    <w:rsid w:val="000052ED"/>
    <w:rsid w:val="000510AB"/>
    <w:rsid w:val="0005173E"/>
    <w:rsid w:val="00071480"/>
    <w:rsid w:val="000715DD"/>
    <w:rsid w:val="00087701"/>
    <w:rsid w:val="00102B29"/>
    <w:rsid w:val="001079B0"/>
    <w:rsid w:val="001106E2"/>
    <w:rsid w:val="00125D49"/>
    <w:rsid w:val="00136C30"/>
    <w:rsid w:val="0016552E"/>
    <w:rsid w:val="00166A0A"/>
    <w:rsid w:val="00193D3A"/>
    <w:rsid w:val="001A41E8"/>
    <w:rsid w:val="001C3175"/>
    <w:rsid w:val="001C3CE5"/>
    <w:rsid w:val="001C4716"/>
    <w:rsid w:val="001C6DFE"/>
    <w:rsid w:val="001D69A1"/>
    <w:rsid w:val="001D6D2F"/>
    <w:rsid w:val="001E733D"/>
    <w:rsid w:val="001F1F1F"/>
    <w:rsid w:val="001F4AF3"/>
    <w:rsid w:val="001F5EC0"/>
    <w:rsid w:val="00206433"/>
    <w:rsid w:val="00206929"/>
    <w:rsid w:val="00210433"/>
    <w:rsid w:val="00213548"/>
    <w:rsid w:val="002237A4"/>
    <w:rsid w:val="0022445B"/>
    <w:rsid w:val="0023158A"/>
    <w:rsid w:val="002554A7"/>
    <w:rsid w:val="00260276"/>
    <w:rsid w:val="00281EF4"/>
    <w:rsid w:val="00292C90"/>
    <w:rsid w:val="002B3316"/>
    <w:rsid w:val="002C124C"/>
    <w:rsid w:val="002C4C8B"/>
    <w:rsid w:val="00302967"/>
    <w:rsid w:val="00312782"/>
    <w:rsid w:val="00313CBB"/>
    <w:rsid w:val="00352DAB"/>
    <w:rsid w:val="00361508"/>
    <w:rsid w:val="00361684"/>
    <w:rsid w:val="00392CC7"/>
    <w:rsid w:val="003B7724"/>
    <w:rsid w:val="003C78E8"/>
    <w:rsid w:val="003D065C"/>
    <w:rsid w:val="003D16B9"/>
    <w:rsid w:val="003F1254"/>
    <w:rsid w:val="003F15D2"/>
    <w:rsid w:val="00422591"/>
    <w:rsid w:val="0046501E"/>
    <w:rsid w:val="00481648"/>
    <w:rsid w:val="00483BEF"/>
    <w:rsid w:val="004A5C09"/>
    <w:rsid w:val="004B193D"/>
    <w:rsid w:val="004E1E75"/>
    <w:rsid w:val="004F31D0"/>
    <w:rsid w:val="004F4A9C"/>
    <w:rsid w:val="005425F6"/>
    <w:rsid w:val="00546046"/>
    <w:rsid w:val="00553773"/>
    <w:rsid w:val="00562E12"/>
    <w:rsid w:val="00564953"/>
    <w:rsid w:val="00571F4A"/>
    <w:rsid w:val="0057530B"/>
    <w:rsid w:val="00582FF9"/>
    <w:rsid w:val="00584166"/>
    <w:rsid w:val="005A034D"/>
    <w:rsid w:val="005E3379"/>
    <w:rsid w:val="005E645C"/>
    <w:rsid w:val="0060145B"/>
    <w:rsid w:val="00613240"/>
    <w:rsid w:val="006149F8"/>
    <w:rsid w:val="0063174C"/>
    <w:rsid w:val="006645D1"/>
    <w:rsid w:val="0067431C"/>
    <w:rsid w:val="00684531"/>
    <w:rsid w:val="00685D38"/>
    <w:rsid w:val="006912E3"/>
    <w:rsid w:val="006956E4"/>
    <w:rsid w:val="006D6935"/>
    <w:rsid w:val="006F5C19"/>
    <w:rsid w:val="00702C2D"/>
    <w:rsid w:val="00711E09"/>
    <w:rsid w:val="007163D3"/>
    <w:rsid w:val="0071756F"/>
    <w:rsid w:val="0072452D"/>
    <w:rsid w:val="0072551E"/>
    <w:rsid w:val="007343D3"/>
    <w:rsid w:val="00743F07"/>
    <w:rsid w:val="0074483C"/>
    <w:rsid w:val="007534A9"/>
    <w:rsid w:val="0075755E"/>
    <w:rsid w:val="0077184C"/>
    <w:rsid w:val="007A3773"/>
    <w:rsid w:val="007B4E9E"/>
    <w:rsid w:val="007B4F10"/>
    <w:rsid w:val="007C2ED5"/>
    <w:rsid w:val="007D7669"/>
    <w:rsid w:val="007E00A3"/>
    <w:rsid w:val="007E66B7"/>
    <w:rsid w:val="007F273A"/>
    <w:rsid w:val="008058C8"/>
    <w:rsid w:val="00811BAE"/>
    <w:rsid w:val="00834044"/>
    <w:rsid w:val="00870BC9"/>
    <w:rsid w:val="008733D1"/>
    <w:rsid w:val="0089288F"/>
    <w:rsid w:val="0089368B"/>
    <w:rsid w:val="008C117C"/>
    <w:rsid w:val="00927134"/>
    <w:rsid w:val="0093133F"/>
    <w:rsid w:val="00932A8A"/>
    <w:rsid w:val="0095137D"/>
    <w:rsid w:val="009572F1"/>
    <w:rsid w:val="00971186"/>
    <w:rsid w:val="009714D8"/>
    <w:rsid w:val="00974CAB"/>
    <w:rsid w:val="00975163"/>
    <w:rsid w:val="00976522"/>
    <w:rsid w:val="00976993"/>
    <w:rsid w:val="00977CDA"/>
    <w:rsid w:val="009B1882"/>
    <w:rsid w:val="009B59D8"/>
    <w:rsid w:val="009C33F2"/>
    <w:rsid w:val="009C73BB"/>
    <w:rsid w:val="009F2583"/>
    <w:rsid w:val="00A068E9"/>
    <w:rsid w:val="00A10878"/>
    <w:rsid w:val="00A25B26"/>
    <w:rsid w:val="00A331C2"/>
    <w:rsid w:val="00A47749"/>
    <w:rsid w:val="00A5142A"/>
    <w:rsid w:val="00A51629"/>
    <w:rsid w:val="00A64120"/>
    <w:rsid w:val="00A74973"/>
    <w:rsid w:val="00A815A9"/>
    <w:rsid w:val="00AF5682"/>
    <w:rsid w:val="00B11127"/>
    <w:rsid w:val="00B1190D"/>
    <w:rsid w:val="00B25D59"/>
    <w:rsid w:val="00B40676"/>
    <w:rsid w:val="00B44CC3"/>
    <w:rsid w:val="00B57B86"/>
    <w:rsid w:val="00B631E9"/>
    <w:rsid w:val="00B6360B"/>
    <w:rsid w:val="00B76D64"/>
    <w:rsid w:val="00B82442"/>
    <w:rsid w:val="00B87FEC"/>
    <w:rsid w:val="00B90D52"/>
    <w:rsid w:val="00BC00EA"/>
    <w:rsid w:val="00BC21F3"/>
    <w:rsid w:val="00BC5904"/>
    <w:rsid w:val="00BD3915"/>
    <w:rsid w:val="00BD57AB"/>
    <w:rsid w:val="00BD7970"/>
    <w:rsid w:val="00BE5505"/>
    <w:rsid w:val="00BF6F3F"/>
    <w:rsid w:val="00C01F1B"/>
    <w:rsid w:val="00C07FAB"/>
    <w:rsid w:val="00C102DC"/>
    <w:rsid w:val="00C11B3F"/>
    <w:rsid w:val="00C16FB4"/>
    <w:rsid w:val="00C35CEC"/>
    <w:rsid w:val="00C5084E"/>
    <w:rsid w:val="00C562CE"/>
    <w:rsid w:val="00C56FF7"/>
    <w:rsid w:val="00C72390"/>
    <w:rsid w:val="00C84295"/>
    <w:rsid w:val="00C94850"/>
    <w:rsid w:val="00CA446D"/>
    <w:rsid w:val="00CB5296"/>
    <w:rsid w:val="00CB6127"/>
    <w:rsid w:val="00CC2F35"/>
    <w:rsid w:val="00CC3227"/>
    <w:rsid w:val="00CF70BB"/>
    <w:rsid w:val="00D0305F"/>
    <w:rsid w:val="00D05C0B"/>
    <w:rsid w:val="00D07266"/>
    <w:rsid w:val="00D17844"/>
    <w:rsid w:val="00D24AAB"/>
    <w:rsid w:val="00D2747C"/>
    <w:rsid w:val="00D43458"/>
    <w:rsid w:val="00D54F48"/>
    <w:rsid w:val="00D820F1"/>
    <w:rsid w:val="00DA7B4F"/>
    <w:rsid w:val="00DC1F8F"/>
    <w:rsid w:val="00DC364A"/>
    <w:rsid w:val="00DD3038"/>
    <w:rsid w:val="00DE1833"/>
    <w:rsid w:val="00DE7F81"/>
    <w:rsid w:val="00DF45FC"/>
    <w:rsid w:val="00E005EE"/>
    <w:rsid w:val="00E43B12"/>
    <w:rsid w:val="00E606E3"/>
    <w:rsid w:val="00E6446D"/>
    <w:rsid w:val="00E67B77"/>
    <w:rsid w:val="00E858F0"/>
    <w:rsid w:val="00E87E6B"/>
    <w:rsid w:val="00E90EDB"/>
    <w:rsid w:val="00EB6A46"/>
    <w:rsid w:val="00EC4A4A"/>
    <w:rsid w:val="00F01CB0"/>
    <w:rsid w:val="00F07BBC"/>
    <w:rsid w:val="00F139AD"/>
    <w:rsid w:val="00F1581D"/>
    <w:rsid w:val="00F15E26"/>
    <w:rsid w:val="00F24D54"/>
    <w:rsid w:val="00F33EB4"/>
    <w:rsid w:val="00F55772"/>
    <w:rsid w:val="00F63623"/>
    <w:rsid w:val="00F74069"/>
    <w:rsid w:val="00F74208"/>
    <w:rsid w:val="00F847C6"/>
    <w:rsid w:val="00F8678F"/>
    <w:rsid w:val="00F8697B"/>
    <w:rsid w:val="00F90970"/>
    <w:rsid w:val="00FA424E"/>
    <w:rsid w:val="00FA5BCA"/>
    <w:rsid w:val="00FC6FD0"/>
    <w:rsid w:val="00FD4442"/>
    <w:rsid w:val="00FE1118"/>
    <w:rsid w:val="00FF7DDD"/>
    <w:rsid w:val="01D76FD5"/>
    <w:rsid w:val="0D3D64B0"/>
    <w:rsid w:val="0D66199D"/>
    <w:rsid w:val="0F772EC6"/>
    <w:rsid w:val="17ED6A19"/>
    <w:rsid w:val="1B373F76"/>
    <w:rsid w:val="2ACF6AE3"/>
    <w:rsid w:val="34247FE8"/>
    <w:rsid w:val="412C6DC3"/>
    <w:rsid w:val="4B402600"/>
    <w:rsid w:val="56CA45E5"/>
    <w:rsid w:val="62C56FEB"/>
    <w:rsid w:val="66934570"/>
    <w:rsid w:val="69865081"/>
    <w:rsid w:val="69FC63B3"/>
    <w:rsid w:val="6AA8390D"/>
    <w:rsid w:val="6BF66A45"/>
    <w:rsid w:val="6E410112"/>
    <w:rsid w:val="744E6653"/>
    <w:rsid w:val="764B5B60"/>
    <w:rsid w:val="79A31D71"/>
    <w:rsid w:val="7F1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Char Char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bjfu</Company>
  <Pages>8</Pages>
  <Words>3130</Words>
  <Characters>3248</Characters>
  <Lines>3</Lines>
  <Paragraphs>1</Paragraphs>
  <TotalTime>30</TotalTime>
  <ScaleCrop>false</ScaleCrop>
  <LinksUpToDate>false</LinksUpToDate>
  <CharactersWithSpaces>3399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2016-06-03T06:27:00Z</dcterms:created>
  <dc:creator>masha</dc:creator>
  <cp:lastModifiedBy>zlb</cp:lastModifiedBy>
  <cp:lastPrinted>2022-06-17T07:01:26Z</cp:lastPrinted>
  <dcterms:modified xsi:type="dcterms:W3CDTF">2022-06-17T07:21:22Z</dcterms:modified>
  <dc:title>中林会办字[2007]065号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32AEB4F3702A49C7B7670BFA9F2E2658</vt:lpwstr>
  </property>
</Properties>
</file>