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6"/>
        <w:framePr w:hSpace="0" w:vSpace="0" w:wrap="auto" w:vAnchor="margin" w:hAnchor="text" w:yAlign="inline"/>
      </w:pPr>
      <w:bookmarkStart w:id="0" w:name="_Hlk137369910"/>
      <w:r>
        <w:t xml:space="preserve">ICS </w:t>
      </w:r>
      <w:r>
        <w:rPr>
          <w:rFonts w:hint="eastAsia"/>
        </w:rPr>
        <w:t xml:space="preserve"> </w:t>
      </w:r>
    </w:p>
    <w:p>
      <w:pPr>
        <w:pStyle w:val="136"/>
        <w:framePr w:hSpace="0" w:vSpace="0" w:wrap="auto" w:vAnchor="margin" w:hAnchor="text" w:yAlign="inline"/>
      </w:pPr>
      <w:r>
        <w:t xml:space="preserve">CCS </w:t>
      </w:r>
      <w: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188595</wp:posOffset>
                </wp:positionV>
                <wp:extent cx="866775" cy="198120"/>
                <wp:effectExtent l="0" t="0" r="9525" b="0"/>
                <wp:wrapNone/>
                <wp:docPr id="44"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矩形 2" o:spid="_x0000_s1026" o:spt="1" style="position:absolute;left:0pt;margin-left:-6pt;margin-top:14.85pt;height:15.6pt;width:68.25pt;z-index:-251657216;mso-width-relative:page;mso-height-relative:page;" fillcolor="#FFFFFF" filled="t" stroked="f" coordsize="21600,21600"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CcFGntswEAAF8DAAAOAAAAZHJzL2Uyb0RvYy54bWytU82O&#10;0zAQviPxDpbvNE21dEvUdA9U5YJgpYUHcB07seQ/zbhN+zRI3HgIHgfxGoyd0oXlsgdycGY8M9/M&#10;902yvjs5y44K0ATf8no250x5GTrj+5Z//rR7teIMk/CdsMGrlp8V8rvNyxfrMTZqEYZgOwWMQDw2&#10;Y2z5kFJsqgrloJzAWYjKU1AHcCKRC33VgRgJ3dlqMZ8vqzFAFyFIhUi32ynIL4jwHMCgtZFqG+TB&#10;KZ8mVFBWJKKEg4nIN2VarZVMH7VGlZhtOTFN5aQmZO/zWW3WoulBxMHIywjiOSM84eSE8dT0CrUV&#10;SbADmH+gnJEQMOg0k8FVE5GiCLGo50+0eRhEVIULSY3xKjr+P1j54XgPzHQtv7nhzAtHG//55duP&#10;71/ZIoszRmwo5yHew8VDMjPTkwaX38SBnYqg56ug6pSYpMvVcnl7+5ozSaH6zapeFMGrx+IImN6p&#10;4Fg2Wg60ryKjOL7HRA0p9XdK7oXBmm5nrC0O9Pu3FthR0G535ckTU8lfadbnZB9y2RTON1UmNlHJ&#10;1j50Z9LhEMH0Aw1SF6QcId0L5uUbyYv90y9Ij//F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XMdY1wAAAAkBAAAPAAAAAAAAAAEAIAAAACIAAABkcnMvZG93bnJldi54bWxQSwECFAAUAAAACACH&#10;TuJAnBRp7bMBAABfAwAADgAAAAAAAAABACAAAAAmAQAAZHJzL2Uyb0RvYy54bWxQSwUGAAAAAAYA&#10;BgBZAQAASwUAAAAA&#10;">
                <v:fill on="t" focussize="0,0"/>
                <v:stroke on="f"/>
                <v:imagedata o:title=""/>
                <o:lock v:ext="edit" aspectratio="f"/>
              </v:rect>
            </w:pict>
          </mc:Fallback>
        </mc:AlternateContent>
      </w:r>
      <w:r>
        <w:rPr>
          <w:rFonts w:hint="eastAsia"/>
        </w:rPr>
        <w:t xml:space="preserve"> </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36"/>
                    <w:framePr w:hSpace="0" w:vSpace="0" w:wrap="auto" w:vAnchor="margin" w:hAnchor="text" w:yAlign="inline"/>
                    <w:jc w:val="center"/>
                  </w:pPr>
                  <w:r>
                    <w:rPr>
                      <w:rFonts w:ascii="Times New Roman"/>
                      <w:b/>
                      <w:bCs/>
                      <w:sz w:val="112"/>
                      <w:szCs w:val="112"/>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46" name="矩形 1"/>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矩形 1"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GijF7IBAABfAwAADgAAAGRycy9lMm9Eb2MueG1srVPNjtMw&#10;EL4j8Q6W7zRNBd0SNd0DVbkgWGnZB3AdO7HkP824Tfs0SNx4CB4H8RqMndKF5bIHcnBmPDPfzPdN&#10;sr49OcuOCtAE3/J6NudMeRk64/uWP3zevVpxhkn4TtjgVcvPCvnt5uWL9RgbtQhDsJ0CRiAemzG2&#10;fEgpNlWFclBO4CxE5SmoAziRyIW+6kCMhO5stZjPl9UYoIsQpEKk2+0U5BdEeA5g0NpItQ3y4JRP&#10;EyooKxJRwsFE5JsyrdZKpk9ao0rMtpyYpnJSE7L3+aw2a9H0IOJg5GUE8ZwRnnBywnhqeoXaiiTY&#10;Acw/UM5ICBh0msngqolIUYRY1PMn2twPIqrChaTGeBUd/x+s/Hi8A2a6lr9ecuaFo43//PLtx/ev&#10;rM7ijBEbyrmPd3DxkMzM9KTB5TdxYKci6PkqqDolJulytVze3LzhTFKofruqF0Xw6rE4Aqb3KjiW&#10;jZYD7avIKI4fMFFDSv2dknthsKbbGWuLA/3+nQV2FLTbXXnyxFTyV5r1OdmHXDaF802ViU1UsrUP&#10;3Zl0OEQw/UCDFO4lh3QvmJdvJC/2T78gPf4X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GijF7IBAABfAwAADgAAAAAAAAABACAAAAAkAQAAZHJzL2Uyb0RvYy54bWxQSwUGAAAAAAYABgBZ&#10;AQAASAUAAAAA&#10;">
                            <v:fill on="t" focussize="0,0"/>
                            <v:stroke on="f"/>
                            <v:imagedata o:title=""/>
                            <o:lock v:ext="edit" aspectratio="f"/>
                          </v:rect>
                        </w:pict>
                      </mc:Fallback>
                    </mc:AlternateContent>
                  </w:r>
                  <w:r>
                    <w:rPr>
                      <w:rFonts w:hint="eastAsia" w:ascii="Times New Roman"/>
                      <w:b/>
                      <w:bCs/>
                      <w:sz w:val="112"/>
                      <w:szCs w:val="112"/>
                    </w:rPr>
                    <w:t xml:space="preserve">            </w:t>
                  </w:r>
                  <w:r>
                    <w:rPr>
                      <w:rFonts w:ascii="Times New Roman"/>
                      <w:b/>
                      <w:bCs/>
                      <w:sz w:val="112"/>
                      <w:szCs w:val="112"/>
                    </w:rPr>
                    <w:t>CSF</w:t>
                  </w:r>
                </w:p>
              </w:tc>
            </w:tr>
          </w:tbl>
          <w:p>
            <w:pPr>
              <w:pStyle w:val="136"/>
              <w:framePr w:hSpace="0" w:vSpace="0" w:wrap="auto" w:vAnchor="margin" w:hAnchor="text" w:yAlign="inline"/>
            </w:pPr>
          </w:p>
        </w:tc>
      </w:tr>
    </w:tbl>
    <w:p>
      <w:pPr>
        <w:autoSpaceDE w:val="0"/>
        <w:autoSpaceDN w:val="0"/>
        <w:adjustRightInd w:val="0"/>
        <w:spacing w:before="158" w:beforeLines="50" w:line="240" w:lineRule="atLeast"/>
        <w:jc w:val="center"/>
        <w:rPr>
          <w:rFonts w:ascii="黑体" w:hAnsi="黑体" w:eastAsia="黑体" w:cs="黑体"/>
          <w:bCs/>
          <w:spacing w:val="-40"/>
          <w:kern w:val="0"/>
          <w:sz w:val="84"/>
          <w:szCs w:val="84"/>
        </w:rPr>
      </w:pPr>
      <w:r>
        <w:rPr>
          <w:rFonts w:ascii="黑体" w:hAnsi="黑体" w:eastAsia="黑体" w:cs="黑体"/>
          <w:bCs/>
          <w:spacing w:val="-40"/>
          <w:kern w:val="0"/>
          <w:sz w:val="84"/>
          <w:szCs w:val="84"/>
        </w:rPr>
        <w:t>团     体     标     准</w:t>
      </w:r>
    </w:p>
    <w:p>
      <w:pPr>
        <w:autoSpaceDE w:val="0"/>
        <w:autoSpaceDN w:val="0"/>
        <w:adjustRightInd w:val="0"/>
        <w:spacing w:before="158" w:beforeLines="50" w:line="454" w:lineRule="exact"/>
        <w:jc w:val="center"/>
        <w:rPr>
          <w:rFonts w:ascii="黑体" w:hAnsi="黑体" w:eastAsia="黑体" w:cs="Times New Roman"/>
          <w:kern w:val="0"/>
          <w:sz w:val="52"/>
          <w:szCs w:val="52"/>
        </w:rPr>
      </w:pPr>
    </w:p>
    <w:p>
      <w:pPr>
        <w:pBdr>
          <w:bottom w:val="none" w:color="auto" w:sz="0" w:space="1"/>
        </w:pBdr>
        <w:tabs>
          <w:tab w:val="left" w:pos="3350"/>
          <w:tab w:val="right" w:pos="9474"/>
        </w:tabs>
        <w:autoSpaceDE w:val="0"/>
        <w:autoSpaceDN w:val="0"/>
        <w:adjustRightInd w:val="0"/>
        <w:spacing w:before="158" w:beforeLines="50"/>
        <w:ind w:right="283"/>
        <w:jc w:val="left"/>
        <w:rPr>
          <w:rFonts w:hint="default" w:ascii="黑体" w:hAnsi="黑体" w:eastAsia="黑体" w:cs="Times New Roman"/>
          <w:color w:val="000000" w:themeColor="text1"/>
          <w:sz w:val="52"/>
          <w:szCs w:val="52"/>
          <w:lang w:val="en-US" w:eastAsia="zh-CN"/>
          <w14:textFill>
            <w14:solidFill>
              <w14:schemeClr w14:val="tx1"/>
            </w14:solidFill>
          </w14:textFill>
        </w:rPr>
      </w:pPr>
      <w:r>
        <w:rPr>
          <w:rFonts w:hint="eastAsia" w:ascii="黑体" w:hAnsi="黑体" w:eastAsia="黑体" w:cs="Times New Roman"/>
          <w:b/>
          <w:bCs/>
          <w:kern w:val="0"/>
          <w:sz w:val="28"/>
          <w:szCs w:val="28"/>
        </w:rPr>
        <w:tab/>
      </w:r>
      <w:r>
        <w:rPr>
          <w:rFonts w:hint="eastAsia" w:ascii="黑体" w:hAnsi="黑体" w:eastAsia="黑体" w:cs="Times New Roman"/>
          <w:b/>
          <w:bCs/>
          <w:kern w:val="0"/>
          <w:sz w:val="28"/>
          <w:szCs w:val="28"/>
        </w:rPr>
        <w:tab/>
      </w:r>
      <w:r>
        <w:rPr>
          <w:rFonts w:ascii="黑体" w:hAnsi="黑体" w:eastAsia="黑体" w:cs="Times New Roman"/>
          <w:b/>
          <w:bCs/>
          <w:kern w:val="0"/>
          <w:sz w:val="28"/>
          <w:szCs w:val="28"/>
        </w:rPr>
        <w:t>T/CSF</w:t>
      </w:r>
      <w:r>
        <w:rPr>
          <w:rFonts w:hint="eastAsia" w:ascii="黑体" w:hAnsi="黑体" w:eastAsia="黑体" w:cs="Times New Roman"/>
          <w:b/>
          <w:bCs/>
          <w:kern w:val="0"/>
          <w:sz w:val="28"/>
          <w:szCs w:val="28"/>
        </w:rPr>
        <w:t xml:space="preserve"> </w:t>
      </w:r>
      <w:r>
        <w:rPr>
          <w:rFonts w:hint="eastAsia" w:ascii="黑体" w:hAnsi="黑体" w:eastAsia="黑体" w:cs="Times New Roman"/>
          <w:b/>
          <w:bCs/>
          <w:kern w:val="0"/>
          <w:sz w:val="28"/>
          <w:szCs w:val="28"/>
          <w:lang w:val="en-US" w:eastAsia="zh-CN"/>
        </w:rPr>
        <w:t>0079-2023</w:t>
      </w:r>
      <w:bookmarkStart w:id="13" w:name="_GoBack"/>
      <w:bookmarkEnd w:id="13"/>
    </w:p>
    <w:p>
      <w:pPr>
        <w:pBdr>
          <w:top w:val="none" w:color="auto" w:sz="0" w:space="1"/>
          <w:left w:val="none" w:color="auto" w:sz="0" w:space="4"/>
          <w:bottom w:val="single" w:color="auto" w:sz="8" w:space="1"/>
          <w:right w:val="none" w:color="auto" w:sz="0" w:space="4"/>
        </w:pBdr>
        <w:adjustRightInd w:val="0"/>
        <w:snapToGrid w:val="0"/>
        <w:spacing w:line="360" w:lineRule="auto"/>
        <w:rPr>
          <w:rFonts w:ascii="黑体" w:hAnsi="黑体" w:eastAsia="黑体" w:cs="Times New Roman"/>
          <w:color w:val="000000" w:themeColor="text1"/>
          <w:sz w:val="2"/>
          <w:szCs w:val="2"/>
          <w14:textFill>
            <w14:solidFill>
              <w14:schemeClr w14:val="tx1"/>
            </w14:solidFill>
          </w14:textFill>
        </w:rPr>
      </w:pPr>
    </w:p>
    <w:p>
      <w:pPr>
        <w:spacing w:before="2268"/>
        <w:jc w:val="center"/>
        <w:rPr>
          <w:rFonts w:ascii="黑体" w:hAnsi="黑体" w:eastAsia="黑体" w:cs="Times New Roman"/>
          <w:color w:val="000000" w:themeColor="text1"/>
          <w:sz w:val="52"/>
          <w:szCs w:val="52"/>
          <w14:textFill>
            <w14:solidFill>
              <w14:schemeClr w14:val="tx1"/>
            </w14:solidFill>
          </w14:textFill>
        </w:rPr>
      </w:pPr>
      <w:r>
        <w:rPr>
          <w:rFonts w:hint="eastAsia" w:ascii="黑体" w:hAnsi="黑体" w:eastAsia="黑体" w:cs="Times New Roman"/>
          <w:color w:val="000000" w:themeColor="text1"/>
          <w:sz w:val="52"/>
          <w:szCs w:val="52"/>
          <w14:textFill>
            <w14:solidFill>
              <w14:schemeClr w14:val="tx1"/>
            </w14:solidFill>
          </w14:textFill>
        </w:rPr>
        <w:t>果用型油料能源林培育技术规程</w:t>
      </w:r>
    </w:p>
    <w:p>
      <w:pPr>
        <w:spacing w:line="680" w:lineRule="exact"/>
        <w:jc w:val="center"/>
        <w:rPr>
          <w:rFonts w:ascii="Times New Roman" w:hAnsi="Times New Roman" w:eastAsia="宋体" w:cs="Times New Roman"/>
          <w:bCs/>
          <w:kern w:val="0"/>
          <w:sz w:val="32"/>
          <w:szCs w:val="32"/>
        </w:rPr>
      </w:pPr>
      <w:r>
        <w:rPr>
          <w:rFonts w:ascii="Times New Roman" w:hAnsi="Times New Roman" w:eastAsia="黑体" w:cs="Times New Roman"/>
          <w:bCs/>
          <w:kern w:val="0"/>
          <w:sz w:val="32"/>
          <w:szCs w:val="32"/>
        </w:rPr>
        <w:t>Technical code of practice for cultivation of fruit-utilization type of oil-bearing energy forest</w:t>
      </w:r>
    </w:p>
    <w:p>
      <w:pPr>
        <w:widowControl/>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4"/>
          <w:szCs w:val="24"/>
        </w:rPr>
      </w:pPr>
    </w:p>
    <w:p>
      <w:pPr>
        <w:widowControl/>
        <w:pBdr>
          <w:top w:val="none" w:color="auto" w:sz="0" w:space="1"/>
          <w:left w:val="none" w:color="auto" w:sz="0" w:space="4"/>
          <w:bottom w:val="single" w:color="auto" w:sz="8" w:space="1"/>
          <w:right w:val="none" w:color="auto" w:sz="0" w:space="4"/>
        </w:pBdr>
        <w:spacing w:before="237" w:beforeLines="75"/>
        <w:rPr>
          <w:rFonts w:ascii="Times New Roman" w:hAnsi="Times New Roman" w:eastAsia="宋体" w:cs="Times New Roman"/>
          <w:sz w:val="28"/>
          <w:szCs w:val="28"/>
        </w:rPr>
      </w:pPr>
      <w:r>
        <w:rPr>
          <w:rFonts w:ascii="黑体" w:hAnsi="黑体" w:eastAsia="黑体" w:cs="Times New Roman"/>
          <w:kern w:val="0"/>
          <w:sz w:val="28"/>
          <w:szCs w:val="28"/>
        </w:rPr>
        <w:t>××××-××-××发布</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××××-××-××实施</w:t>
      </w:r>
    </w:p>
    <w:p>
      <w:pPr>
        <w:jc w:val="center"/>
        <w:rPr>
          <w:rFonts w:ascii="Times New Roman" w:hAnsi="Times New Roman" w:eastAsia="宋体" w:cs="Times New Roman"/>
          <w:spacing w:val="20"/>
          <w:w w:val="135"/>
          <w:kern w:val="0"/>
          <w:sz w:val="24"/>
          <w:szCs w:val="21"/>
        </w:rPr>
      </w:pPr>
    </w:p>
    <w:p>
      <w:pPr>
        <w:ind w:left="170"/>
        <w:jc w:val="center"/>
        <w:rPr>
          <w:rStyle w:val="41"/>
          <w:rFonts w:hAnsi="黑体" w:cs="Times New Roman"/>
          <w:kern w:val="0"/>
        </w:rPr>
        <w:sectPr>
          <w:headerReference r:id="rId3" w:type="default"/>
          <w:headerReference r:id="rId4" w:type="even"/>
          <w:pgSz w:w="11906" w:h="16838"/>
          <w:pgMar w:top="567" w:right="850" w:bottom="1111" w:left="1417" w:header="851" w:footer="992" w:gutter="0"/>
          <w:cols w:space="0" w:num="1"/>
          <w:docGrid w:type="lines" w:linePitch="317" w:charSpace="0"/>
        </w:sectPr>
      </w:pPr>
      <w:r>
        <w:rPr>
          <w:rFonts w:ascii="Times New Roman" w:hAnsi="Times New Roman" w:eastAsia="宋体" w:cs="Times New Roman"/>
          <w:spacing w:val="20"/>
          <w:w w:val="135"/>
          <w:kern w:val="0"/>
          <w:sz w:val="28"/>
        </w:rPr>
        <w:t>中国林学</w:t>
      </w:r>
      <w:r>
        <w:rPr>
          <w:rFonts w:ascii="Times New Roman" w:hAnsi="Times New Roman" w:eastAsia="宋体" w:cs="Times New Roman"/>
          <w:spacing w:val="283"/>
          <w:w w:val="135"/>
          <w:kern w:val="0"/>
          <w:sz w:val="28"/>
        </w:rPr>
        <w:t>会</w:t>
      </w:r>
      <w:r>
        <w:rPr>
          <w:rStyle w:val="41"/>
          <w:rFonts w:hAnsi="黑体" w:cs="Times New Roman"/>
          <w:spacing w:val="170"/>
          <w:kern w:val="0"/>
          <w:position w:val="0"/>
        </w:rPr>
        <w:t>发布</w:t>
      </w:r>
      <w:bookmarkEnd w:id="0"/>
    </w:p>
    <w:p>
      <w:pPr>
        <w:jc w:val="center"/>
        <w:rPr>
          <w:rFonts w:ascii="黑体" w:hAnsi="黑体" w:eastAsia="黑体" w:cs="Times New Roman"/>
          <w:sz w:val="32"/>
          <w:szCs w:val="32"/>
        </w:rPr>
      </w:pPr>
      <w:bookmarkStart w:id="1" w:name="_Toc133706117"/>
      <w:bookmarkStart w:id="2" w:name="_Toc126825916"/>
      <w:bookmarkStart w:id="3" w:name="_Toc129179111"/>
      <w:bookmarkStart w:id="4" w:name="_Toc119568880"/>
      <w:bookmarkStart w:id="5" w:name="_Toc119575325"/>
      <w:bookmarkStart w:id="6" w:name="_Toc28972"/>
      <w:bookmarkStart w:id="7" w:name="_Toc13820"/>
      <w:bookmarkStart w:id="8" w:name="_Toc10260"/>
      <w:r>
        <w:rPr>
          <w:rFonts w:hint="eastAsia" w:ascii="黑体" w:hAnsi="黑体" w:eastAsia="黑体" w:cs="Times New Roman"/>
          <w:sz w:val="32"/>
          <w:szCs w:val="32"/>
        </w:rPr>
        <w:t>目</w:t>
      </w:r>
      <w:r>
        <w:rPr>
          <w:rFonts w:ascii="黑体" w:hAnsi="黑体" w:eastAsia="黑体" w:cs="Times New Roman"/>
          <w:sz w:val="32"/>
          <w:szCs w:val="32"/>
        </w:rPr>
        <w:t>  </w:t>
      </w:r>
      <w:r>
        <w:rPr>
          <w:rFonts w:hint="eastAsia" w:ascii="黑体" w:hAnsi="黑体" w:eastAsia="黑体" w:cs="Times New Roman"/>
          <w:sz w:val="32"/>
          <w:szCs w:val="32"/>
        </w:rPr>
        <w:t>次</w:t>
      </w:r>
      <w:bookmarkEnd w:id="1"/>
      <w:bookmarkEnd w:id="2"/>
      <w:bookmarkEnd w:id="3"/>
      <w:bookmarkEnd w:id="4"/>
      <w:bookmarkEnd w:id="5"/>
      <w:bookmarkEnd w:id="6"/>
    </w:p>
    <w:p>
      <w:pPr>
        <w:tabs>
          <w:tab w:val="right" w:leader="dot" w:pos="9344"/>
        </w:tabs>
        <w:rPr>
          <w:rFonts w:ascii="宋体" w:hAnsi="宋体" w:eastAsia="宋体" w:cs="Times New Roman"/>
        </w:rPr>
      </w:pPr>
      <w:r>
        <w:rPr>
          <w:rFonts w:ascii="宋体" w:hAnsi="宋体" w:eastAsia="宋体" w:cs="Times New Roman"/>
          <w:sz w:val="32"/>
          <w:szCs w:val="20"/>
        </w:rPr>
        <w:fldChar w:fldCharType="begin"/>
      </w:r>
      <w:r>
        <w:rPr>
          <w:rFonts w:ascii="宋体" w:hAnsi="宋体" w:eastAsia="宋体" w:cs="Times New Roman"/>
          <w:sz w:val="32"/>
          <w:szCs w:val="20"/>
        </w:rPr>
        <w:instrText xml:space="preserve"> TOC \o "1-2" \u </w:instrText>
      </w:r>
      <w:r>
        <w:rPr>
          <w:rFonts w:ascii="宋体" w:hAnsi="宋体" w:eastAsia="宋体" w:cs="Times New Roman"/>
          <w:sz w:val="32"/>
          <w:szCs w:val="20"/>
        </w:rPr>
        <w:fldChar w:fldCharType="separate"/>
      </w:r>
      <w:r>
        <w:rPr>
          <w:rFonts w:ascii="宋体" w:hAnsi="宋体" w:eastAsia="宋体" w:cs="Times New Roman"/>
          <w:kern w:val="0"/>
          <w:szCs w:val="20"/>
        </w:rPr>
        <w:t>前</w:t>
      </w:r>
      <w:r>
        <w:rPr>
          <w:rFonts w:ascii="宋体" w:hAnsi="宋体" w:eastAsia="宋体" w:cs="黑体"/>
          <w:kern w:val="0"/>
          <w:szCs w:val="20"/>
        </w:rPr>
        <w:t>言</w:t>
      </w:r>
      <w:r>
        <w:rPr>
          <w:rFonts w:ascii="宋体" w:hAnsi="宋体" w:eastAsia="宋体" w:cs="Times New Roman"/>
          <w:szCs w:val="20"/>
        </w:rPr>
        <w:tab/>
      </w:r>
      <w:r>
        <w:rPr>
          <w:rFonts w:ascii="宋体" w:hAnsi="宋体" w:eastAsia="宋体" w:cs="Times New Roman"/>
          <w:szCs w:val="20"/>
        </w:rPr>
        <w:fldChar w:fldCharType="begin"/>
      </w:r>
      <w:r>
        <w:rPr>
          <w:rFonts w:ascii="宋体" w:hAnsi="宋体" w:eastAsia="宋体" w:cs="Times New Roman"/>
          <w:szCs w:val="20"/>
        </w:rPr>
        <w:instrText xml:space="preserve"> PAGEREF _Toc139620412 \h </w:instrText>
      </w:r>
      <w:r>
        <w:rPr>
          <w:rFonts w:ascii="宋体" w:hAnsi="宋体" w:eastAsia="宋体" w:cs="Times New Roman"/>
          <w:szCs w:val="20"/>
        </w:rPr>
        <w:fldChar w:fldCharType="separate"/>
      </w:r>
      <w:r>
        <w:rPr>
          <w:rFonts w:ascii="宋体" w:hAnsi="宋体" w:eastAsia="宋体" w:cs="Times New Roman"/>
          <w:szCs w:val="20"/>
        </w:rPr>
        <w:t>II</w:t>
      </w:r>
      <w:r>
        <w:rPr>
          <w:rFonts w:ascii="宋体" w:hAnsi="宋体" w:eastAsia="宋体" w:cs="Times New Roman"/>
          <w:szCs w:val="20"/>
        </w:rPr>
        <w:fldChar w:fldCharType="end"/>
      </w:r>
    </w:p>
    <w:p>
      <w:pPr>
        <w:tabs>
          <w:tab w:val="right" w:leader="dot" w:pos="9344"/>
        </w:tabs>
        <w:rPr>
          <w:rFonts w:ascii="宋体" w:hAnsi="宋体" w:eastAsia="宋体" w:cs="Times New Roman"/>
        </w:rPr>
      </w:pPr>
      <w:r>
        <w:rPr>
          <w:rFonts w:ascii="宋体" w:hAnsi="宋体" w:eastAsia="宋体" w:cs="Times New Roman"/>
          <w:szCs w:val="20"/>
        </w:rPr>
        <w:t>1 范围</w:t>
      </w:r>
      <w:r>
        <w:rPr>
          <w:rFonts w:ascii="宋体" w:hAnsi="宋体" w:eastAsia="宋体" w:cs="Times New Roman"/>
          <w:szCs w:val="20"/>
        </w:rPr>
        <w:tab/>
      </w:r>
      <w:r>
        <w:rPr>
          <w:rFonts w:ascii="宋体" w:hAnsi="宋体" w:eastAsia="宋体" w:cs="Times New Roman"/>
          <w:szCs w:val="20"/>
        </w:rPr>
        <w:fldChar w:fldCharType="begin"/>
      </w:r>
      <w:r>
        <w:rPr>
          <w:rFonts w:ascii="宋体" w:hAnsi="宋体" w:eastAsia="宋体" w:cs="Times New Roman"/>
          <w:szCs w:val="20"/>
        </w:rPr>
        <w:instrText xml:space="preserve"> PAGEREF _Toc139620413 \h </w:instrText>
      </w:r>
      <w:r>
        <w:rPr>
          <w:rFonts w:ascii="宋体" w:hAnsi="宋体" w:eastAsia="宋体" w:cs="Times New Roman"/>
          <w:szCs w:val="20"/>
        </w:rPr>
        <w:fldChar w:fldCharType="separate"/>
      </w:r>
      <w:r>
        <w:rPr>
          <w:rFonts w:ascii="宋体" w:hAnsi="宋体" w:eastAsia="宋体" w:cs="Times New Roman"/>
          <w:szCs w:val="20"/>
        </w:rPr>
        <w:t>1</w:t>
      </w:r>
      <w:r>
        <w:rPr>
          <w:rFonts w:ascii="宋体" w:hAnsi="宋体" w:eastAsia="宋体" w:cs="Times New Roman"/>
          <w:szCs w:val="20"/>
        </w:rPr>
        <w:fldChar w:fldCharType="end"/>
      </w:r>
    </w:p>
    <w:p>
      <w:pPr>
        <w:tabs>
          <w:tab w:val="right" w:leader="dot" w:pos="9344"/>
        </w:tabs>
        <w:rPr>
          <w:rFonts w:ascii="宋体" w:hAnsi="宋体" w:eastAsia="宋体" w:cs="Times New Roman"/>
        </w:rPr>
      </w:pPr>
      <w:r>
        <w:rPr>
          <w:rFonts w:ascii="宋体" w:hAnsi="宋体" w:eastAsia="宋体" w:cs="Times New Roman"/>
          <w:szCs w:val="20"/>
        </w:rPr>
        <w:t>2 规范性引用文件</w:t>
      </w:r>
      <w:r>
        <w:rPr>
          <w:rFonts w:ascii="宋体" w:hAnsi="宋体" w:eastAsia="宋体" w:cs="Times New Roman"/>
          <w:szCs w:val="20"/>
        </w:rPr>
        <w:tab/>
      </w:r>
      <w:r>
        <w:rPr>
          <w:rFonts w:ascii="宋体" w:hAnsi="宋体" w:eastAsia="宋体" w:cs="Times New Roman"/>
          <w:szCs w:val="20"/>
        </w:rPr>
        <w:fldChar w:fldCharType="begin"/>
      </w:r>
      <w:r>
        <w:rPr>
          <w:rFonts w:ascii="宋体" w:hAnsi="宋体" w:eastAsia="宋体" w:cs="Times New Roman"/>
          <w:szCs w:val="20"/>
        </w:rPr>
        <w:instrText xml:space="preserve"> PAGEREF _Toc139620414 \h </w:instrText>
      </w:r>
      <w:r>
        <w:rPr>
          <w:rFonts w:ascii="宋体" w:hAnsi="宋体" w:eastAsia="宋体" w:cs="Times New Roman"/>
          <w:szCs w:val="20"/>
        </w:rPr>
        <w:fldChar w:fldCharType="separate"/>
      </w:r>
      <w:r>
        <w:rPr>
          <w:rFonts w:ascii="宋体" w:hAnsi="宋体" w:eastAsia="宋体" w:cs="Times New Roman"/>
          <w:szCs w:val="20"/>
        </w:rPr>
        <w:t>1</w:t>
      </w:r>
      <w:r>
        <w:rPr>
          <w:rFonts w:ascii="宋体" w:hAnsi="宋体" w:eastAsia="宋体" w:cs="Times New Roman"/>
          <w:szCs w:val="20"/>
        </w:rPr>
        <w:fldChar w:fldCharType="end"/>
      </w:r>
    </w:p>
    <w:p>
      <w:pPr>
        <w:tabs>
          <w:tab w:val="right" w:leader="dot" w:pos="9344"/>
        </w:tabs>
        <w:rPr>
          <w:rFonts w:ascii="宋体" w:hAnsi="宋体" w:eastAsia="宋体" w:cs="Times New Roman"/>
        </w:rPr>
      </w:pPr>
      <w:r>
        <w:rPr>
          <w:rFonts w:ascii="宋体" w:hAnsi="宋体" w:eastAsia="宋体" w:cs="Times New Roman"/>
          <w:szCs w:val="20"/>
        </w:rPr>
        <w:t>3 术语和定义</w:t>
      </w:r>
      <w:r>
        <w:rPr>
          <w:rFonts w:ascii="宋体" w:hAnsi="宋体" w:eastAsia="宋体" w:cs="Times New Roman"/>
          <w:szCs w:val="20"/>
        </w:rPr>
        <w:tab/>
      </w:r>
      <w:r>
        <w:rPr>
          <w:rFonts w:ascii="宋体" w:hAnsi="宋体" w:eastAsia="宋体" w:cs="Times New Roman"/>
          <w:szCs w:val="20"/>
        </w:rPr>
        <w:fldChar w:fldCharType="begin"/>
      </w:r>
      <w:r>
        <w:rPr>
          <w:rFonts w:ascii="宋体" w:hAnsi="宋体" w:eastAsia="宋体" w:cs="Times New Roman"/>
          <w:szCs w:val="20"/>
        </w:rPr>
        <w:instrText xml:space="preserve"> PAGEREF _Toc139620415 \h </w:instrText>
      </w:r>
      <w:r>
        <w:rPr>
          <w:rFonts w:ascii="宋体" w:hAnsi="宋体" w:eastAsia="宋体" w:cs="Times New Roman"/>
          <w:szCs w:val="20"/>
        </w:rPr>
        <w:fldChar w:fldCharType="separate"/>
      </w:r>
      <w:r>
        <w:rPr>
          <w:rFonts w:ascii="宋体" w:hAnsi="宋体" w:eastAsia="宋体" w:cs="Times New Roman"/>
          <w:szCs w:val="20"/>
        </w:rPr>
        <w:t>1</w:t>
      </w:r>
      <w:r>
        <w:rPr>
          <w:rFonts w:ascii="宋体" w:hAnsi="宋体" w:eastAsia="宋体" w:cs="Times New Roman"/>
          <w:szCs w:val="20"/>
        </w:rPr>
        <w:fldChar w:fldCharType="end"/>
      </w:r>
    </w:p>
    <w:p>
      <w:pPr>
        <w:tabs>
          <w:tab w:val="right" w:leader="dot" w:pos="9344"/>
        </w:tabs>
        <w:rPr>
          <w:rFonts w:ascii="宋体" w:hAnsi="宋体" w:eastAsia="宋体" w:cs="Times New Roman"/>
        </w:rPr>
      </w:pPr>
      <w:r>
        <w:rPr>
          <w:rFonts w:ascii="宋体" w:hAnsi="宋体" w:eastAsia="宋体" w:cs="Times New Roman"/>
          <w:szCs w:val="20"/>
        </w:rPr>
        <w:t xml:space="preserve">4 </w:t>
      </w:r>
      <w:r>
        <w:rPr>
          <w:rFonts w:hint="eastAsia" w:ascii="宋体" w:hAnsi="宋体" w:eastAsia="宋体" w:cs="Times New Roman"/>
          <w:szCs w:val="20"/>
        </w:rPr>
        <w:t>树种适生条件和区域</w:t>
      </w:r>
      <w:r>
        <w:rPr>
          <w:rFonts w:ascii="宋体" w:hAnsi="宋体" w:eastAsia="宋体" w:cs="Times New Roman"/>
          <w:szCs w:val="20"/>
        </w:rPr>
        <w:tab/>
      </w:r>
      <w:r>
        <w:rPr>
          <w:rFonts w:ascii="宋体" w:hAnsi="宋体" w:eastAsia="宋体" w:cs="Times New Roman"/>
          <w:szCs w:val="20"/>
        </w:rPr>
        <w:fldChar w:fldCharType="begin"/>
      </w:r>
      <w:r>
        <w:rPr>
          <w:rFonts w:ascii="宋体" w:hAnsi="宋体" w:eastAsia="宋体" w:cs="Times New Roman"/>
          <w:szCs w:val="20"/>
        </w:rPr>
        <w:instrText xml:space="preserve"> PAGEREF _Toc139620420 \h </w:instrText>
      </w:r>
      <w:r>
        <w:rPr>
          <w:rFonts w:ascii="宋体" w:hAnsi="宋体" w:eastAsia="宋体" w:cs="Times New Roman"/>
          <w:szCs w:val="20"/>
        </w:rPr>
        <w:fldChar w:fldCharType="separate"/>
      </w:r>
      <w:r>
        <w:rPr>
          <w:rFonts w:ascii="宋体" w:hAnsi="宋体" w:eastAsia="宋体" w:cs="Times New Roman"/>
          <w:szCs w:val="20"/>
        </w:rPr>
        <w:t>2</w:t>
      </w:r>
      <w:r>
        <w:rPr>
          <w:rFonts w:ascii="宋体" w:hAnsi="宋体" w:eastAsia="宋体" w:cs="Times New Roman"/>
          <w:szCs w:val="20"/>
        </w:rPr>
        <w:fldChar w:fldCharType="end"/>
      </w:r>
    </w:p>
    <w:p>
      <w:pPr>
        <w:tabs>
          <w:tab w:val="right" w:leader="dot" w:pos="9344"/>
        </w:tabs>
        <w:rPr>
          <w:rFonts w:ascii="宋体" w:hAnsi="宋体" w:eastAsia="宋体" w:cs="Times New Roman"/>
        </w:rPr>
      </w:pPr>
      <w:r>
        <w:rPr>
          <w:rFonts w:ascii="宋体" w:hAnsi="宋体" w:eastAsia="宋体" w:cs="Times New Roman"/>
          <w:szCs w:val="20"/>
        </w:rPr>
        <w:t>5 育苗</w:t>
      </w:r>
      <w:r>
        <w:rPr>
          <w:rFonts w:ascii="宋体" w:hAnsi="宋体" w:eastAsia="宋体" w:cs="Times New Roman"/>
          <w:szCs w:val="20"/>
        </w:rPr>
        <w:tab/>
      </w:r>
      <w:r>
        <w:rPr>
          <w:rFonts w:ascii="宋体" w:hAnsi="宋体" w:eastAsia="宋体" w:cs="Times New Roman"/>
          <w:szCs w:val="20"/>
        </w:rPr>
        <w:t>2</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5.1 </w:t>
      </w:r>
      <w:r>
        <w:rPr>
          <w:rFonts w:hint="eastAsia" w:ascii="宋体" w:hAnsi="宋体" w:eastAsia="宋体" w:cs="Times New Roman"/>
          <w:szCs w:val="20"/>
        </w:rPr>
        <w:t>苗木类型</w:t>
      </w:r>
      <w:r>
        <w:rPr>
          <w:rFonts w:ascii="宋体" w:hAnsi="宋体" w:eastAsia="宋体" w:cs="Times New Roman"/>
          <w:szCs w:val="20"/>
        </w:rPr>
        <w:tab/>
      </w:r>
      <w:r>
        <w:rPr>
          <w:rFonts w:ascii="宋体" w:hAnsi="宋体" w:eastAsia="宋体" w:cs="Times New Roman"/>
          <w:szCs w:val="20"/>
        </w:rPr>
        <w:t>2</w:t>
      </w:r>
    </w:p>
    <w:p>
      <w:pPr>
        <w:tabs>
          <w:tab w:val="right" w:leader="dot" w:pos="9344"/>
        </w:tabs>
        <w:ind w:left="420" w:leftChars="200"/>
        <w:rPr>
          <w:rFonts w:ascii="宋体" w:hAnsi="宋体" w:eastAsia="宋体" w:cs="Times New Roman"/>
        </w:rPr>
      </w:pPr>
      <w:r>
        <w:rPr>
          <w:rFonts w:ascii="宋体" w:hAnsi="宋体" w:eastAsia="宋体" w:cs="Times New Roman"/>
          <w:szCs w:val="20"/>
        </w:rPr>
        <w:t>5.2 圃地选择</w:t>
      </w:r>
      <w:r>
        <w:rPr>
          <w:rFonts w:ascii="宋体" w:hAnsi="宋体" w:eastAsia="宋体" w:cs="Times New Roman"/>
          <w:szCs w:val="20"/>
        </w:rPr>
        <w:tab/>
      </w:r>
      <w:r>
        <w:rPr>
          <w:rFonts w:ascii="宋体" w:hAnsi="宋体" w:eastAsia="宋体" w:cs="Times New Roman"/>
          <w:szCs w:val="20"/>
        </w:rPr>
        <w:t>2</w:t>
      </w:r>
    </w:p>
    <w:p>
      <w:pPr>
        <w:tabs>
          <w:tab w:val="right" w:leader="dot" w:pos="9344"/>
        </w:tabs>
        <w:ind w:left="420" w:leftChars="200"/>
        <w:rPr>
          <w:rFonts w:ascii="宋体" w:hAnsi="宋体" w:eastAsia="宋体" w:cs="Times New Roman"/>
        </w:rPr>
      </w:pPr>
      <w:r>
        <w:rPr>
          <w:rFonts w:ascii="宋体" w:hAnsi="宋体" w:eastAsia="宋体" w:cs="Times New Roman"/>
          <w:szCs w:val="20"/>
        </w:rPr>
        <w:t>5.3 播种育苗</w:t>
      </w:r>
      <w:r>
        <w:rPr>
          <w:rFonts w:ascii="宋体" w:hAnsi="宋体" w:eastAsia="宋体" w:cs="Times New Roman"/>
          <w:szCs w:val="20"/>
        </w:rPr>
        <w:tab/>
      </w:r>
      <w:r>
        <w:rPr>
          <w:rFonts w:ascii="宋体" w:hAnsi="宋体" w:eastAsia="宋体" w:cs="Times New Roman"/>
          <w:szCs w:val="20"/>
        </w:rPr>
        <w:t>2</w:t>
      </w:r>
    </w:p>
    <w:p>
      <w:pPr>
        <w:tabs>
          <w:tab w:val="right" w:leader="dot" w:pos="9344"/>
        </w:tabs>
        <w:ind w:left="420" w:leftChars="200"/>
        <w:rPr>
          <w:rFonts w:ascii="宋体" w:hAnsi="宋体" w:eastAsia="宋体" w:cs="Times New Roman"/>
        </w:rPr>
      </w:pPr>
      <w:r>
        <w:rPr>
          <w:rFonts w:ascii="宋体" w:hAnsi="宋体" w:eastAsia="宋体" w:cs="Times New Roman"/>
          <w:szCs w:val="20"/>
        </w:rPr>
        <w:t>5.4 嫁接育苗</w:t>
      </w:r>
      <w:r>
        <w:rPr>
          <w:rFonts w:ascii="宋体" w:hAnsi="宋体" w:eastAsia="宋体" w:cs="Times New Roman"/>
          <w:szCs w:val="20"/>
        </w:rPr>
        <w:tab/>
      </w:r>
      <w:r>
        <w:rPr>
          <w:rFonts w:ascii="宋体" w:hAnsi="宋体" w:eastAsia="宋体" w:cs="Times New Roman"/>
          <w:szCs w:val="20"/>
        </w:rPr>
        <w:t>3</w:t>
      </w:r>
    </w:p>
    <w:p>
      <w:pPr>
        <w:tabs>
          <w:tab w:val="right" w:leader="dot" w:pos="9344"/>
        </w:tabs>
        <w:ind w:left="420" w:leftChars="200"/>
        <w:rPr>
          <w:rFonts w:ascii="宋体" w:hAnsi="宋体" w:eastAsia="宋体" w:cs="Times New Roman"/>
          <w:szCs w:val="20"/>
        </w:rPr>
      </w:pPr>
      <w:r>
        <w:rPr>
          <w:rFonts w:ascii="宋体" w:hAnsi="宋体" w:eastAsia="宋体" w:cs="Times New Roman"/>
          <w:szCs w:val="20"/>
        </w:rPr>
        <w:t xml:space="preserve">5.5 </w:t>
      </w:r>
      <w:r>
        <w:rPr>
          <w:rFonts w:hint="eastAsia" w:ascii="宋体" w:hAnsi="宋体" w:eastAsia="宋体" w:cs="Times New Roman"/>
          <w:szCs w:val="20"/>
        </w:rPr>
        <w:t>扦插</w:t>
      </w:r>
      <w:r>
        <w:rPr>
          <w:rFonts w:ascii="宋体" w:hAnsi="宋体" w:eastAsia="宋体" w:cs="Times New Roman"/>
          <w:szCs w:val="20"/>
        </w:rPr>
        <w:t>育苗</w:t>
      </w:r>
      <w:r>
        <w:rPr>
          <w:rFonts w:ascii="宋体" w:hAnsi="宋体" w:eastAsia="宋体" w:cs="Times New Roman"/>
          <w:szCs w:val="20"/>
        </w:rPr>
        <w:tab/>
      </w:r>
      <w:r>
        <w:rPr>
          <w:rFonts w:ascii="宋体" w:hAnsi="宋体" w:eastAsia="宋体" w:cs="Times New Roman"/>
          <w:szCs w:val="20"/>
        </w:rPr>
        <w:t>3</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5.6 </w:t>
      </w:r>
      <w:r>
        <w:rPr>
          <w:rFonts w:hint="eastAsia" w:ascii="宋体" w:hAnsi="宋体" w:eastAsia="宋体" w:cs="Times New Roman"/>
          <w:szCs w:val="20"/>
        </w:rPr>
        <w:t>苗木出圃</w:t>
      </w:r>
      <w:r>
        <w:rPr>
          <w:rFonts w:ascii="宋体" w:hAnsi="宋体" w:eastAsia="宋体" w:cs="Times New Roman"/>
          <w:szCs w:val="20"/>
        </w:rPr>
        <w:tab/>
      </w:r>
      <w:r>
        <w:rPr>
          <w:rFonts w:ascii="宋体" w:hAnsi="宋体" w:eastAsia="宋体" w:cs="Times New Roman"/>
          <w:szCs w:val="20"/>
        </w:rPr>
        <w:t>4</w:t>
      </w:r>
    </w:p>
    <w:p>
      <w:pPr>
        <w:tabs>
          <w:tab w:val="right" w:leader="dot" w:pos="9344"/>
        </w:tabs>
        <w:rPr>
          <w:rFonts w:ascii="宋体" w:hAnsi="宋体" w:eastAsia="宋体" w:cs="Times New Roman"/>
        </w:rPr>
      </w:pPr>
      <w:r>
        <w:rPr>
          <w:rFonts w:ascii="宋体" w:hAnsi="宋体" w:eastAsia="宋体" w:cs="Times New Roman"/>
          <w:szCs w:val="20"/>
        </w:rPr>
        <w:t>6 造林</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6.1 造林地选择</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6.2 规划设计</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szCs w:val="20"/>
        </w:rPr>
      </w:pPr>
      <w:r>
        <w:rPr>
          <w:rFonts w:ascii="宋体" w:hAnsi="宋体" w:eastAsia="宋体" w:cs="Times New Roman"/>
          <w:szCs w:val="20"/>
        </w:rPr>
        <w:t>6.3 林地清理</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6.4 整地</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6.5 </w:t>
      </w:r>
      <w:r>
        <w:rPr>
          <w:rFonts w:hint="eastAsia" w:ascii="宋体" w:hAnsi="宋体" w:eastAsia="宋体" w:cs="Times New Roman"/>
          <w:szCs w:val="20"/>
        </w:rPr>
        <w:t>施基肥</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6.6 </w:t>
      </w:r>
      <w:r>
        <w:rPr>
          <w:rFonts w:hint="eastAsia" w:ascii="宋体" w:hAnsi="宋体" w:eastAsia="宋体" w:cs="Times New Roman"/>
          <w:szCs w:val="20"/>
        </w:rPr>
        <w:t>栽植</w:t>
      </w:r>
      <w:r>
        <w:rPr>
          <w:rFonts w:ascii="宋体" w:hAnsi="宋体" w:eastAsia="宋体" w:cs="Times New Roman"/>
          <w:szCs w:val="20"/>
        </w:rPr>
        <w:tab/>
      </w:r>
      <w:r>
        <w:rPr>
          <w:rFonts w:ascii="宋体" w:hAnsi="宋体" w:eastAsia="宋体" w:cs="Times New Roman"/>
          <w:szCs w:val="20"/>
        </w:rPr>
        <w:t>4</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6.7 </w:t>
      </w:r>
      <w:r>
        <w:rPr>
          <w:rFonts w:hint="eastAsia" w:ascii="宋体" w:hAnsi="宋体" w:eastAsia="宋体" w:cs="Times New Roman"/>
          <w:szCs w:val="20"/>
        </w:rPr>
        <w:t>补植</w:t>
      </w:r>
      <w:r>
        <w:rPr>
          <w:rFonts w:ascii="宋体" w:hAnsi="宋体" w:eastAsia="宋体" w:cs="Times New Roman"/>
          <w:szCs w:val="20"/>
        </w:rPr>
        <w:tab/>
      </w:r>
      <w:r>
        <w:rPr>
          <w:rFonts w:ascii="宋体" w:hAnsi="宋体" w:eastAsia="宋体" w:cs="Times New Roman"/>
          <w:szCs w:val="20"/>
        </w:rPr>
        <w:t>5</w:t>
      </w:r>
    </w:p>
    <w:p>
      <w:pPr>
        <w:tabs>
          <w:tab w:val="right" w:leader="dot" w:pos="9344"/>
        </w:tabs>
        <w:rPr>
          <w:rFonts w:ascii="宋体" w:hAnsi="宋体" w:eastAsia="宋体" w:cs="Times New Roman"/>
        </w:rPr>
      </w:pPr>
      <w:r>
        <w:rPr>
          <w:rFonts w:ascii="宋体" w:hAnsi="宋体" w:eastAsia="宋体" w:cs="Times New Roman"/>
          <w:szCs w:val="20"/>
        </w:rPr>
        <w:t>7 经营管护</w:t>
      </w:r>
      <w:r>
        <w:rPr>
          <w:rFonts w:ascii="宋体" w:hAnsi="宋体" w:eastAsia="宋体" w:cs="Times New Roman"/>
          <w:szCs w:val="20"/>
        </w:rPr>
        <w:tab/>
      </w:r>
      <w:r>
        <w:rPr>
          <w:rFonts w:ascii="宋体" w:hAnsi="宋体" w:eastAsia="宋体" w:cs="Times New Roman"/>
          <w:szCs w:val="20"/>
        </w:rPr>
        <w:t>5</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7.1 </w:t>
      </w:r>
      <w:r>
        <w:rPr>
          <w:rFonts w:hint="eastAsia" w:ascii="宋体" w:hAnsi="宋体" w:eastAsia="宋体" w:cs="Times New Roman"/>
          <w:szCs w:val="20"/>
        </w:rPr>
        <w:t>土壤管理</w:t>
      </w:r>
      <w:r>
        <w:rPr>
          <w:rFonts w:ascii="宋体" w:hAnsi="宋体" w:eastAsia="宋体" w:cs="Times New Roman"/>
          <w:szCs w:val="20"/>
        </w:rPr>
        <w:tab/>
      </w:r>
      <w:r>
        <w:rPr>
          <w:rFonts w:ascii="宋体" w:hAnsi="宋体" w:eastAsia="宋体" w:cs="Times New Roman"/>
          <w:szCs w:val="20"/>
        </w:rPr>
        <w:t>5</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7.2 </w:t>
      </w:r>
      <w:r>
        <w:rPr>
          <w:rFonts w:hint="eastAsia" w:ascii="宋体" w:hAnsi="宋体" w:eastAsia="宋体" w:cs="Times New Roman"/>
          <w:szCs w:val="20"/>
        </w:rPr>
        <w:t>树体管理</w:t>
      </w:r>
      <w:r>
        <w:rPr>
          <w:rFonts w:ascii="宋体" w:hAnsi="宋体" w:eastAsia="宋体" w:cs="Times New Roman"/>
          <w:szCs w:val="20"/>
        </w:rPr>
        <w:tab/>
      </w:r>
      <w:r>
        <w:rPr>
          <w:rFonts w:ascii="宋体" w:hAnsi="宋体" w:eastAsia="宋体" w:cs="Times New Roman"/>
          <w:szCs w:val="20"/>
        </w:rPr>
        <w:t>5</w:t>
      </w:r>
    </w:p>
    <w:p>
      <w:pPr>
        <w:tabs>
          <w:tab w:val="right" w:leader="dot" w:pos="9344"/>
        </w:tabs>
        <w:ind w:left="420" w:leftChars="200"/>
        <w:rPr>
          <w:rFonts w:ascii="宋体" w:hAnsi="宋体" w:eastAsia="宋体" w:cs="Times New Roman"/>
        </w:rPr>
      </w:pPr>
      <w:r>
        <w:rPr>
          <w:rFonts w:ascii="宋体" w:hAnsi="宋体" w:eastAsia="宋体" w:cs="Times New Roman"/>
          <w:szCs w:val="20"/>
        </w:rPr>
        <w:t xml:space="preserve">7.3 </w:t>
      </w:r>
      <w:r>
        <w:rPr>
          <w:rFonts w:hint="eastAsia" w:ascii="宋体" w:hAnsi="宋体" w:eastAsia="宋体" w:cs="Times New Roman"/>
          <w:szCs w:val="20"/>
        </w:rPr>
        <w:t>病虫害防治</w:t>
      </w:r>
      <w:r>
        <w:rPr>
          <w:rFonts w:ascii="宋体" w:hAnsi="宋体" w:eastAsia="宋体" w:cs="Times New Roman"/>
          <w:szCs w:val="20"/>
        </w:rPr>
        <w:tab/>
      </w:r>
      <w:r>
        <w:rPr>
          <w:rFonts w:ascii="宋体" w:hAnsi="宋体" w:eastAsia="宋体" w:cs="Times New Roman"/>
          <w:szCs w:val="20"/>
        </w:rPr>
        <w:t>6</w:t>
      </w:r>
    </w:p>
    <w:p>
      <w:pPr>
        <w:tabs>
          <w:tab w:val="right" w:leader="dot" w:pos="9344"/>
        </w:tabs>
        <w:rPr>
          <w:rFonts w:ascii="宋体" w:hAnsi="宋体" w:eastAsia="宋体" w:cs="Times New Roman"/>
        </w:rPr>
      </w:pPr>
      <w:r>
        <w:rPr>
          <w:rFonts w:ascii="宋体" w:hAnsi="宋体" w:eastAsia="宋体" w:cs="Times New Roman"/>
          <w:szCs w:val="20"/>
        </w:rPr>
        <w:t>8 采收和贮藏</w:t>
      </w:r>
      <w:r>
        <w:rPr>
          <w:rFonts w:ascii="宋体" w:hAnsi="宋体" w:eastAsia="宋体" w:cs="Times New Roman"/>
          <w:szCs w:val="20"/>
        </w:rPr>
        <w:tab/>
      </w:r>
      <w:r>
        <w:rPr>
          <w:rFonts w:ascii="宋体" w:hAnsi="宋体" w:eastAsia="宋体" w:cs="Times New Roman"/>
          <w:szCs w:val="20"/>
        </w:rPr>
        <w:t>6</w:t>
      </w:r>
    </w:p>
    <w:p>
      <w:pPr>
        <w:tabs>
          <w:tab w:val="right" w:leader="dot" w:pos="9344"/>
        </w:tabs>
        <w:rPr>
          <w:rFonts w:ascii="宋体" w:hAnsi="宋体" w:eastAsia="宋体" w:cs="Times New Roman"/>
        </w:rPr>
      </w:pPr>
      <w:r>
        <w:rPr>
          <w:rFonts w:ascii="宋体" w:hAnsi="宋体" w:eastAsia="宋体" w:cs="Times New Roman"/>
          <w:szCs w:val="20"/>
        </w:rPr>
        <w:t>9 技术档案</w:t>
      </w:r>
      <w:r>
        <w:rPr>
          <w:rFonts w:ascii="宋体" w:hAnsi="宋体" w:eastAsia="宋体" w:cs="Times New Roman"/>
          <w:szCs w:val="20"/>
        </w:rPr>
        <w:tab/>
      </w:r>
      <w:r>
        <w:rPr>
          <w:rFonts w:ascii="宋体" w:hAnsi="宋体" w:eastAsia="宋体" w:cs="Times New Roman"/>
          <w:szCs w:val="20"/>
        </w:rPr>
        <w:t>6</w:t>
      </w:r>
    </w:p>
    <w:p>
      <w:pPr>
        <w:tabs>
          <w:tab w:val="right" w:leader="dot" w:pos="9344"/>
        </w:tabs>
        <w:rPr>
          <w:rFonts w:ascii="宋体" w:hAnsi="宋体" w:eastAsia="宋体" w:cs="Times New Roman"/>
        </w:rPr>
      </w:pPr>
      <w:r>
        <w:rPr>
          <w:rFonts w:ascii="宋体" w:hAnsi="宋体" w:eastAsia="宋体" w:cs="Times New Roman"/>
          <w:szCs w:val="20"/>
        </w:rPr>
        <w:t>参考文献</w:t>
      </w:r>
      <w:r>
        <w:rPr>
          <w:rFonts w:ascii="宋体" w:hAnsi="宋体" w:eastAsia="宋体" w:cs="Times New Roman"/>
          <w:szCs w:val="20"/>
        </w:rPr>
        <w:tab/>
      </w:r>
      <w:r>
        <w:rPr>
          <w:rFonts w:ascii="宋体" w:hAnsi="宋体" w:eastAsia="宋体" w:cs="Times New Roman"/>
          <w:szCs w:val="20"/>
        </w:rPr>
        <w:t>20</w:t>
      </w:r>
    </w:p>
    <w:p>
      <w:pPr>
        <w:pStyle w:val="18"/>
        <w:tabs>
          <w:tab w:val="right" w:leader="dot" w:pos="9344"/>
        </w:tabs>
        <w:rPr>
          <w:rFonts w:ascii="Times New Roman" w:hAnsi="Times New Roman" w:eastAsia="黑体"/>
          <w:sz w:val="32"/>
          <w:szCs w:val="36"/>
        </w:rPr>
      </w:pPr>
      <w:r>
        <w:rPr>
          <w:rFonts w:ascii="宋体" w:hAnsi="宋体" w:eastAsia="宋体"/>
          <w:kern w:val="2"/>
          <w:sz w:val="32"/>
          <w:szCs w:val="20"/>
        </w:rPr>
        <w:fldChar w:fldCharType="end"/>
      </w:r>
      <w:r>
        <w:rPr>
          <w:rFonts w:ascii="Times New Roman" w:hAnsi="Times New Roman" w:eastAsia="黑体"/>
          <w:sz w:val="32"/>
          <w:szCs w:val="36"/>
        </w:rPr>
        <w:br w:type="page"/>
      </w:r>
    </w:p>
    <w:p>
      <w:pPr>
        <w:pStyle w:val="2"/>
        <w:jc w:val="center"/>
        <w:rPr>
          <w:sz w:val="24"/>
          <w:szCs w:val="28"/>
        </w:rPr>
      </w:pPr>
      <w:r>
        <w:t>前   言</w:t>
      </w:r>
      <w:bookmarkEnd w:id="7"/>
      <w:bookmarkEnd w:id="8"/>
    </w:p>
    <w:p>
      <w:pPr>
        <w:spacing w:line="360" w:lineRule="auto"/>
        <w:ind w:firstLine="420" w:firstLineChars="200"/>
        <w:rPr>
          <w:rFonts w:ascii="Times New Roman" w:hAnsi="Times New Roman" w:cs="Times New Roman"/>
        </w:rPr>
      </w:pPr>
    </w:p>
    <w:p>
      <w:pPr>
        <w:pStyle w:val="8"/>
        <w:autoSpaceDE w:val="0"/>
        <w:autoSpaceDN w:val="0"/>
        <w:adjustRightInd w:val="0"/>
        <w:spacing w:line="360" w:lineRule="auto"/>
        <w:ind w:firstLine="424" w:firstLineChars="202"/>
        <w:rPr>
          <w:rFonts w:ascii="Times New Roman" w:hAnsi="Times New Roman" w:cs="Times New Roman"/>
          <w:color w:val="000000" w:themeColor="text1"/>
          <w:kern w:val="0"/>
          <w:szCs w:val="21"/>
          <w14:textFill>
            <w14:solidFill>
              <w14:schemeClr w14:val="tx1"/>
            </w14:solidFill>
          </w14:textFill>
        </w:rPr>
      </w:pPr>
      <w:r>
        <w:rPr>
          <w:rFonts w:hint="eastAsia"/>
        </w:rPr>
        <w:t>本文件按</w:t>
      </w:r>
      <w:r>
        <w:rPr>
          <w:rFonts w:hint="eastAsia" w:asciiTheme="minorEastAsia" w:hAnsiTheme="minorEastAsia"/>
        </w:rPr>
        <w:t>照GB/T 1.1-2020《标准化工作</w:t>
      </w:r>
      <w:r>
        <w:rPr>
          <w:rFonts w:hint="eastAsia"/>
        </w:rPr>
        <w:t>导则 第</w:t>
      </w:r>
      <w:r>
        <w:rPr>
          <w:rFonts w:hint="eastAsia" w:asciiTheme="majorEastAsia" w:hAnsiTheme="majorEastAsia" w:eastAsiaTheme="majorEastAsia"/>
        </w:rPr>
        <w:t>1</w:t>
      </w:r>
      <w:r>
        <w:rPr>
          <w:rFonts w:hint="eastAsia"/>
        </w:rPr>
        <w:t>部分：标准化文件的结构和起草规则》的规定起草</w:t>
      </w:r>
      <w:r>
        <w:rPr>
          <w:rFonts w:ascii="Times New Roman" w:hAnsi="Times New Roman" w:cs="Times New Roman"/>
          <w:color w:val="000000" w:themeColor="text1"/>
          <w:kern w:val="0"/>
          <w:szCs w:val="21"/>
          <w14:textFill>
            <w14:solidFill>
              <w14:schemeClr w14:val="tx1"/>
            </w14:solidFill>
          </w14:textFill>
        </w:rPr>
        <w:t>。</w:t>
      </w:r>
    </w:p>
    <w:p>
      <w:pPr>
        <w:autoSpaceDE w:val="0"/>
        <w:autoSpaceDN w:val="0"/>
        <w:adjustRightInd w:val="0"/>
        <w:spacing w:line="360" w:lineRule="auto"/>
        <w:ind w:firstLine="424" w:firstLineChars="202"/>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本</w:t>
      </w:r>
      <w:r>
        <w:rPr>
          <w:rFonts w:hint="eastAsia" w:ascii="Times New Roman" w:hAnsi="Times New Roman" w:cs="Times New Roman"/>
          <w:color w:val="000000" w:themeColor="text1"/>
          <w:kern w:val="0"/>
          <w:szCs w:val="21"/>
          <w14:textFill>
            <w14:solidFill>
              <w14:schemeClr w14:val="tx1"/>
            </w14:solidFill>
          </w14:textFill>
        </w:rPr>
        <w:t>文件</w:t>
      </w:r>
      <w:r>
        <w:rPr>
          <w:rFonts w:ascii="Times New Roman" w:hAnsi="Times New Roman" w:cs="Times New Roman"/>
          <w:color w:val="000000" w:themeColor="text1"/>
          <w:kern w:val="0"/>
          <w:szCs w:val="21"/>
          <w14:textFill>
            <w14:solidFill>
              <w14:schemeClr w14:val="tx1"/>
            </w14:solidFill>
          </w14:textFill>
        </w:rPr>
        <w:t>由中国林学会提出并归口。</w:t>
      </w:r>
    </w:p>
    <w:p>
      <w:pPr>
        <w:autoSpaceDE w:val="0"/>
        <w:autoSpaceDN w:val="0"/>
        <w:adjustRightInd w:val="0"/>
        <w:spacing w:line="360" w:lineRule="auto"/>
        <w:ind w:firstLine="424" w:firstLineChars="202"/>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本</w:t>
      </w:r>
      <w:r>
        <w:rPr>
          <w:rFonts w:hint="eastAsia" w:ascii="Times New Roman" w:hAnsi="Times New Roman" w:cs="Times New Roman"/>
          <w:color w:val="000000" w:themeColor="text1"/>
          <w:kern w:val="0"/>
          <w:szCs w:val="21"/>
          <w14:textFill>
            <w14:solidFill>
              <w14:schemeClr w14:val="tx1"/>
            </w14:solidFill>
          </w14:textFill>
        </w:rPr>
        <w:t>文件</w:t>
      </w:r>
      <w:r>
        <w:rPr>
          <w:rFonts w:ascii="Times New Roman" w:hAnsi="Times New Roman" w:cs="Times New Roman"/>
          <w:color w:val="000000" w:themeColor="text1"/>
          <w:kern w:val="0"/>
          <w:szCs w:val="21"/>
          <w14:textFill>
            <w14:solidFill>
              <w14:schemeClr w14:val="tx1"/>
            </w14:solidFill>
          </w14:textFill>
        </w:rPr>
        <w:t>起草单位：</w:t>
      </w:r>
      <w:r>
        <w:rPr>
          <w:rFonts w:hint="eastAsia" w:ascii="Times New Roman" w:hAnsi="Times New Roman" w:cs="Times New Roman"/>
          <w:color w:val="000000" w:themeColor="text1"/>
          <w:kern w:val="0"/>
          <w:szCs w:val="21"/>
          <w14:textFill>
            <w14:solidFill>
              <w14:schemeClr w14:val="tx1"/>
            </w14:solidFill>
          </w14:textFill>
        </w:rPr>
        <w:t>北京林业大学、北京市农林科学院、四川省林业科学研究院、中国热带农业科学院椰子研究所、湖南省林业科学院、辽宁省朝阳市果树技术推广站。</w:t>
      </w:r>
    </w:p>
    <w:p>
      <w:pPr>
        <w:autoSpaceDE w:val="0"/>
        <w:autoSpaceDN w:val="0"/>
        <w:adjustRightInd w:val="0"/>
        <w:spacing w:line="360" w:lineRule="auto"/>
        <w:ind w:firstLine="420" w:firstLineChars="2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本</w:t>
      </w:r>
      <w:r>
        <w:rPr>
          <w:rFonts w:hint="eastAsia" w:ascii="Times New Roman" w:hAnsi="Times New Roman" w:cs="Times New Roman"/>
          <w:color w:val="000000" w:themeColor="text1"/>
          <w:kern w:val="0"/>
          <w:szCs w:val="21"/>
          <w14:textFill>
            <w14:solidFill>
              <w14:schemeClr w14:val="tx1"/>
            </w14:solidFill>
          </w14:textFill>
        </w:rPr>
        <w:t>文件</w:t>
      </w:r>
      <w:r>
        <w:rPr>
          <w:rFonts w:ascii="Times New Roman" w:hAnsi="Times New Roman" w:cs="Times New Roman"/>
          <w:color w:val="000000" w:themeColor="text1"/>
          <w:kern w:val="0"/>
          <w:szCs w:val="21"/>
          <w14:textFill>
            <w14:solidFill>
              <w14:schemeClr w14:val="tx1"/>
            </w14:solidFill>
          </w14:textFill>
        </w:rPr>
        <w:t>主要起草人：</w:t>
      </w:r>
      <w:r>
        <w:rPr>
          <w:rFonts w:hint="eastAsia" w:ascii="Times New Roman" w:hAnsi="Times New Roman" w:cs="Times New Roman"/>
          <w:color w:val="000000" w:themeColor="text1"/>
          <w:kern w:val="0"/>
          <w:szCs w:val="21"/>
          <w14:textFill>
            <w14:solidFill>
              <w14:schemeClr w14:val="tx1"/>
            </w14:solidFill>
          </w14:textFill>
        </w:rPr>
        <w:t>敖妍、马履一、贾黎明、彭祚登、苏淑钗、侯新村、费世民、曹红星、张良波、田秀铭。</w:t>
      </w:r>
    </w:p>
    <w:p>
      <w:pPr>
        <w:autoSpaceDE w:val="0"/>
        <w:autoSpaceDN w:val="0"/>
        <w:adjustRightInd w:val="0"/>
        <w:spacing w:line="360" w:lineRule="auto"/>
        <w:ind w:firstLine="424" w:firstLineChars="202"/>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本</w:t>
      </w:r>
      <w:r>
        <w:rPr>
          <w:rFonts w:hint="eastAsia" w:ascii="Times New Roman" w:hAnsi="Times New Roman" w:cs="Times New Roman"/>
          <w:color w:val="000000" w:themeColor="text1"/>
          <w:kern w:val="0"/>
          <w:szCs w:val="21"/>
          <w14:textFill>
            <w14:solidFill>
              <w14:schemeClr w14:val="tx1"/>
            </w14:solidFill>
          </w14:textFill>
        </w:rPr>
        <w:t>文件</w:t>
      </w:r>
      <w:r>
        <w:rPr>
          <w:rFonts w:ascii="Times New Roman" w:hAnsi="Times New Roman" w:cs="Times New Roman"/>
          <w:color w:val="000000" w:themeColor="text1"/>
          <w:kern w:val="0"/>
          <w:szCs w:val="21"/>
          <w14:textFill>
            <w14:solidFill>
              <w14:schemeClr w14:val="tx1"/>
            </w14:solidFill>
          </w14:textFill>
        </w:rPr>
        <w:t>为首次发布。</w:t>
      </w:r>
    </w:p>
    <w:p>
      <w:pPr>
        <w:spacing w:line="360" w:lineRule="auto"/>
        <w:jc w:val="center"/>
        <w:rPr>
          <w:rFonts w:ascii="Times New Roman" w:hAnsi="Times New Roman" w:eastAsia="黑体" w:cs="Times New Roman"/>
          <w:b/>
          <w:sz w:val="28"/>
        </w:rPr>
      </w:pPr>
      <w:r>
        <w:rPr>
          <w:rFonts w:ascii="Times New Roman" w:hAnsi="Times New Roman" w:eastAsia="黑体" w:cs="Times New Roman"/>
          <w:b/>
          <w:sz w:val="28"/>
        </w:rPr>
        <w:br w:type="page"/>
      </w:r>
    </w:p>
    <w:p>
      <w:pPr>
        <w:pStyle w:val="2"/>
        <w:autoSpaceDE w:val="0"/>
        <w:autoSpaceDN w:val="0"/>
        <w:adjustRightInd w:val="0"/>
        <w:spacing w:line="360" w:lineRule="auto"/>
        <w:ind w:firstLine="646" w:firstLineChars="202"/>
        <w:jc w:val="center"/>
        <w:rPr>
          <w:rFonts w:ascii="Times New Roman" w:hAnsi="Times New Roman" w:cs="Times New Roman"/>
          <w:bCs/>
          <w:color w:val="000000" w:themeColor="text1"/>
          <w:kern w:val="44"/>
          <w:szCs w:val="44"/>
          <w:lang w:val="zh-CN"/>
          <w14:textFill>
            <w14:solidFill>
              <w14:schemeClr w14:val="tx1"/>
            </w14:solidFill>
          </w14:textFill>
        </w:rPr>
        <w:sectPr>
          <w:headerReference r:id="rId5" w:type="default"/>
          <w:footerReference r:id="rId6" w:type="default"/>
          <w:footerReference r:id="rId7" w:type="even"/>
          <w:pgSz w:w="11906" w:h="16838"/>
          <w:pgMar w:top="2477" w:right="1134" w:bottom="1440" w:left="1417" w:header="1417" w:footer="850" w:gutter="0"/>
          <w:pgNumType w:fmt="upperRoman" w:start="1"/>
          <w:cols w:space="0" w:num="1"/>
          <w:docGrid w:type="lines" w:linePitch="317" w:charSpace="0"/>
        </w:sectPr>
      </w:pPr>
      <w:bookmarkStart w:id="9" w:name="_Toc6851"/>
    </w:p>
    <w:bookmarkEnd w:id="9"/>
    <w:p>
      <w:pPr>
        <w:pageBreakBefore/>
        <w:autoSpaceDE w:val="0"/>
        <w:autoSpaceDN w:val="0"/>
        <w:adjustRightInd w:val="0"/>
        <w:spacing w:before="567" w:line="360" w:lineRule="auto"/>
        <w:ind w:firstLine="646" w:firstLineChars="202"/>
        <w:jc w:val="center"/>
        <w:rPr>
          <w:rFonts w:ascii="黑体" w:hAnsi="黑体" w:eastAsia="黑体" w:cs="Times New Roman"/>
          <w:sz w:val="32"/>
          <w:szCs w:val="32"/>
        </w:rPr>
      </w:pPr>
      <w:r>
        <w:rPr>
          <w:rFonts w:hint="eastAsia" w:ascii="黑体" w:hAnsi="黑体" w:eastAsia="黑体" w:cs="Times New Roman"/>
          <w:sz w:val="32"/>
          <w:szCs w:val="32"/>
        </w:rPr>
        <w:t>果用型油料能源林培育技术规程</w:t>
      </w:r>
    </w:p>
    <w:p>
      <w:pPr>
        <w:pStyle w:val="2"/>
        <w:spacing w:before="317" w:beforeLines="100" w:after="317" w:afterLines="100"/>
        <w:rPr>
          <w:sz w:val="21"/>
          <w:szCs w:val="21"/>
        </w:rPr>
      </w:pPr>
      <w:r>
        <w:rPr>
          <w:sz w:val="21"/>
          <w:szCs w:val="21"/>
        </w:rPr>
        <w:t>1 范围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本文件规定了果用型油料能源林的培育技术，包括树种适生条件和区域、育苗、造林、经营管护、采收和贮藏、技术档案等技术要求。本文件适用于麻疯树、文冠果、黄连木、光皮树、无患子、油棕等树种。</w:t>
      </w:r>
    </w:p>
    <w:p>
      <w:pPr>
        <w:pStyle w:val="2"/>
        <w:spacing w:before="317" w:beforeLines="100" w:after="317" w:afterLines="100"/>
        <w:rPr>
          <w:sz w:val="21"/>
          <w:szCs w:val="21"/>
        </w:rPr>
      </w:pPr>
      <w:r>
        <w:rPr>
          <w:sz w:val="21"/>
          <w:szCs w:val="21"/>
        </w:rPr>
        <w:t>2 规范性引用文件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GB 6001</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育苗技术规程</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GB 7908</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林木种子质量分级</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GB/T</w:t>
      </w:r>
      <w:r>
        <w:rPr>
          <w:rFonts w:cs="Times New Roman" w:asciiTheme="majorEastAsia" w:hAnsiTheme="majorEastAsia" w:eastAsiaTheme="majorEastAsia"/>
          <w:szCs w:val="21"/>
        </w:rPr>
        <w:t xml:space="preserve"> </w:t>
      </w:r>
      <w:r>
        <w:rPr>
          <w:rFonts w:hint="eastAsia" w:cs="Times New Roman" w:asciiTheme="majorEastAsia" w:hAnsiTheme="majorEastAsia" w:eastAsiaTheme="majorEastAsia"/>
          <w:szCs w:val="21"/>
        </w:rPr>
        <w:t>8321（所有部分） 《农药合理使用准则》</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GB 10016</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林木种子贮藏</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GB/T 16619</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林木采种技术</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LY/T 1000</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容器育苗技术</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LY/T 1557</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名特优经济林基地建设技术规程</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LY/T 1607 《造林作业设计规程》</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LY/T 2280</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林木种苗生产经营档案</w:t>
      </w:r>
      <w:r>
        <w:rPr>
          <w:rFonts w:hint="eastAsia" w:cs="Times New Roman" w:asciiTheme="majorEastAsia" w:hAnsiTheme="majorEastAsia" w:eastAsiaTheme="majorEastAsia"/>
          <w:szCs w:val="21"/>
        </w:rPr>
        <w:t>》</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LY/T 22</w:t>
      </w:r>
      <w:r>
        <w:rPr>
          <w:rFonts w:hint="eastAsia" w:cs="Times New Roman" w:asciiTheme="majorEastAsia" w:hAnsiTheme="majorEastAsia" w:eastAsiaTheme="majorEastAsia"/>
          <w:szCs w:val="21"/>
        </w:rPr>
        <w:t>93 《光皮树育苗技术规程》</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LY/T 2</w:t>
      </w:r>
      <w:r>
        <w:rPr>
          <w:rFonts w:hint="eastAsia" w:cs="Times New Roman" w:asciiTheme="majorEastAsia" w:hAnsiTheme="majorEastAsia" w:eastAsiaTheme="majorEastAsia"/>
          <w:szCs w:val="21"/>
        </w:rPr>
        <w:t>309 《麻疯树育苗技术规程》</w:t>
      </w:r>
    </w:p>
    <w:p>
      <w:pPr>
        <w:spacing w:line="360" w:lineRule="auto"/>
        <w:ind w:firstLine="420" w:firstLineChars="200"/>
        <w:rPr>
          <w:rFonts w:cs="Times New Roman" w:asciiTheme="majorEastAsia" w:hAnsiTheme="majorEastAsia" w:eastAsiaTheme="majorEastAsia"/>
          <w:szCs w:val="21"/>
        </w:rPr>
      </w:pPr>
      <w:r>
        <w:rPr>
          <w:rFonts w:cs="Times New Roman" w:asciiTheme="majorEastAsia" w:hAnsiTheme="majorEastAsia" w:eastAsiaTheme="majorEastAsia"/>
          <w:szCs w:val="21"/>
        </w:rPr>
        <w:t>NY/T 3519</w:t>
      </w:r>
      <w:r>
        <w:rPr>
          <w:rFonts w:hint="eastAsia" w:cs="Times New Roman" w:asciiTheme="majorEastAsia" w:hAnsiTheme="majorEastAsia" w:eastAsiaTheme="majorEastAsia"/>
          <w:szCs w:val="21"/>
        </w:rPr>
        <w:t xml:space="preserve"> 《</w:t>
      </w:r>
      <w:r>
        <w:rPr>
          <w:rFonts w:cs="Times New Roman" w:asciiTheme="majorEastAsia" w:hAnsiTheme="majorEastAsia" w:eastAsiaTheme="majorEastAsia"/>
          <w:szCs w:val="21"/>
        </w:rPr>
        <w:t>油棕种苗繁育技术规程</w:t>
      </w:r>
      <w:r>
        <w:rPr>
          <w:rFonts w:hint="eastAsia" w:cs="Times New Roman" w:asciiTheme="majorEastAsia" w:hAnsiTheme="majorEastAsia" w:eastAsiaTheme="majorEastAsia"/>
          <w:szCs w:val="21"/>
        </w:rPr>
        <w:t>》</w:t>
      </w:r>
    </w:p>
    <w:p>
      <w:pPr>
        <w:pStyle w:val="2"/>
        <w:spacing w:before="317" w:beforeLines="100" w:after="317" w:afterLines="100"/>
        <w:rPr>
          <w:sz w:val="21"/>
          <w:szCs w:val="21"/>
        </w:rPr>
      </w:pPr>
      <w:r>
        <w:rPr>
          <w:sz w:val="21"/>
          <w:szCs w:val="21"/>
        </w:rPr>
        <w:t>3 术语定义</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下列术语和定义适用于本文件。</w:t>
      </w:r>
    </w:p>
    <w:p>
      <w:pPr>
        <w:pStyle w:val="48"/>
        <w:spacing w:line="360" w:lineRule="auto"/>
        <w:ind w:firstLine="420" w:firstLineChars="200"/>
        <w:rPr>
          <w:rFonts w:ascii="Times New Roman" w:eastAsia="黑体"/>
          <w:kern w:val="2"/>
          <w:szCs w:val="21"/>
        </w:rPr>
      </w:pPr>
      <w:r>
        <w:rPr>
          <w:rFonts w:hint="eastAsia" w:ascii="Times New Roman" w:eastAsia="黑体"/>
          <w:kern w:val="2"/>
          <w:szCs w:val="21"/>
        </w:rPr>
        <w:t>果用型油料能源林 fruit-utilization type of oil-bearing energy forest</w:t>
      </w:r>
    </w:p>
    <w:p>
      <w:pPr>
        <w:spacing w:line="360" w:lineRule="auto"/>
        <w:ind w:firstLine="420" w:firstLineChars="200"/>
        <w:jc w:val="left"/>
        <w:outlineLvl w:val="0"/>
        <w:rPr>
          <w:rFonts w:ascii="Times New Roman" w:hAnsi="Times New Roman" w:cs="Times New Roman"/>
          <w:szCs w:val="21"/>
        </w:rPr>
      </w:pPr>
      <w:r>
        <w:rPr>
          <w:rFonts w:hint="eastAsia" w:ascii="Times New Roman" w:hAnsi="Times New Roman" w:cs="Times New Roman"/>
          <w:szCs w:val="21"/>
        </w:rPr>
        <w:t>以生产油脂基液体燃料为目的，果实或种子富含油脂或其它类似碳氢化合物，具备含油量（或含碳氢化合物）高、产量高且稳定、适合规模化培育等特点的森林。</w:t>
      </w:r>
    </w:p>
    <w:p>
      <w:pPr>
        <w:pStyle w:val="2"/>
        <w:spacing w:before="317" w:beforeLines="100" w:after="317" w:afterLines="100"/>
        <w:rPr>
          <w:sz w:val="21"/>
          <w:szCs w:val="21"/>
        </w:rPr>
      </w:pPr>
      <w:r>
        <w:rPr>
          <w:sz w:val="21"/>
          <w:szCs w:val="21"/>
        </w:rPr>
        <w:t xml:space="preserve">4 </w:t>
      </w:r>
      <w:bookmarkStart w:id="10" w:name="_Hlk148225516"/>
      <w:r>
        <w:rPr>
          <w:rFonts w:hint="eastAsia"/>
          <w:sz w:val="21"/>
          <w:szCs w:val="21"/>
        </w:rPr>
        <w:t>树种适生条件和区域</w:t>
      </w:r>
      <w:bookmarkEnd w:id="10"/>
    </w:p>
    <w:p>
      <w:pPr>
        <w:spacing w:line="360" w:lineRule="auto"/>
        <w:ind w:firstLine="420" w:firstLineChars="200"/>
        <w:jc w:val="left"/>
        <w:outlineLvl w:val="0"/>
        <w:rPr>
          <w:rFonts w:ascii="Times New Roman" w:hAnsi="Times New Roman" w:cs="Times New Roman"/>
          <w:szCs w:val="21"/>
        </w:rPr>
      </w:pPr>
      <w:r>
        <w:rPr>
          <w:rFonts w:hint="eastAsia" w:ascii="Times New Roman" w:hAnsi="Times New Roman" w:cs="Times New Roman"/>
          <w:szCs w:val="21"/>
        </w:rPr>
        <w:t>参见附录</w:t>
      </w:r>
      <w:r>
        <w:rPr>
          <w:rFonts w:ascii="Times New Roman" w:hAnsi="Times New Roman" w:cs="Times New Roman"/>
          <w:szCs w:val="21"/>
        </w:rPr>
        <w:t>A</w:t>
      </w:r>
      <w:r>
        <w:rPr>
          <w:rFonts w:hint="eastAsia" w:ascii="Times New Roman" w:hAnsi="Times New Roman" w:cs="Times New Roman"/>
          <w:szCs w:val="21"/>
        </w:rPr>
        <w:t>。</w:t>
      </w:r>
    </w:p>
    <w:p>
      <w:pPr>
        <w:pStyle w:val="2"/>
        <w:spacing w:before="317" w:beforeLines="100" w:after="317" w:afterLines="100"/>
        <w:rPr>
          <w:sz w:val="21"/>
          <w:szCs w:val="21"/>
        </w:rPr>
      </w:pPr>
      <w:r>
        <w:rPr>
          <w:sz w:val="21"/>
          <w:szCs w:val="21"/>
        </w:rPr>
        <w:t xml:space="preserve">5 </w:t>
      </w:r>
      <w:r>
        <w:rPr>
          <w:rFonts w:hint="eastAsia"/>
          <w:sz w:val="21"/>
          <w:szCs w:val="21"/>
        </w:rPr>
        <w:t>育苗</w:t>
      </w:r>
    </w:p>
    <w:p>
      <w:pPr>
        <w:pStyle w:val="58"/>
        <w:numPr>
          <w:ilvl w:val="0"/>
          <w:numId w:val="0"/>
        </w:numPr>
        <w:spacing w:before="158" w:after="158"/>
      </w:pPr>
      <w:r>
        <w:t xml:space="preserve">5.1 </w:t>
      </w:r>
      <w:bookmarkStart w:id="11" w:name="_Hlk148225541"/>
      <w:r>
        <w:rPr>
          <w:rFonts w:hint="eastAsia"/>
        </w:rPr>
        <w:t>苗木类型</w:t>
      </w:r>
      <w:bookmarkEnd w:id="11"/>
    </w:p>
    <w:p>
      <w:pPr>
        <w:widowControl/>
        <w:tabs>
          <w:tab w:val="center" w:pos="4201"/>
          <w:tab w:val="right" w:leader="dot" w:pos="9298"/>
        </w:tabs>
        <w:autoSpaceDE w:val="0"/>
        <w:autoSpaceDN w:val="0"/>
        <w:spacing w:line="360" w:lineRule="auto"/>
        <w:ind w:firstLine="420" w:firstLineChars="200"/>
        <w:rPr>
          <w:rFonts w:ascii="Times New Roman" w:hAnsi="Times New Roman" w:cs="Times New Roman"/>
          <w:kern w:val="0"/>
          <w:szCs w:val="20"/>
        </w:rPr>
      </w:pPr>
      <w:r>
        <w:rPr>
          <w:rFonts w:hint="eastAsia" w:ascii="Times New Roman" w:hAnsi="Times New Roman" w:cs="Times New Roman"/>
          <w:kern w:val="0"/>
          <w:szCs w:val="20"/>
        </w:rPr>
        <w:t>麻疯树、文冠果、黄连木、光皮树、无患子宜用优良无性</w:t>
      </w:r>
      <w:r>
        <w:rPr>
          <w:rFonts w:ascii="Times New Roman" w:hAnsi="Times New Roman" w:cs="Times New Roman"/>
          <w:kern w:val="0"/>
          <w:szCs w:val="20"/>
        </w:rPr>
        <w:t>系的营养繁殖苗，</w:t>
      </w:r>
      <w:r>
        <w:rPr>
          <w:rFonts w:hint="eastAsia" w:ascii="Times New Roman" w:hAnsi="Times New Roman" w:cs="Times New Roman"/>
          <w:kern w:val="0"/>
          <w:szCs w:val="20"/>
        </w:rPr>
        <w:t>油棕</w:t>
      </w:r>
      <w:r>
        <w:rPr>
          <w:rFonts w:ascii="Times New Roman" w:hAnsi="Times New Roman" w:cs="Times New Roman"/>
          <w:kern w:val="0"/>
          <w:szCs w:val="20"/>
        </w:rPr>
        <w:t>采用优良实生苗。具体参见附录B。</w:t>
      </w:r>
    </w:p>
    <w:p>
      <w:pPr>
        <w:pStyle w:val="56"/>
        <w:numPr>
          <w:ilvl w:val="1"/>
          <w:numId w:val="16"/>
        </w:numPr>
        <w:spacing w:before="158" w:after="158"/>
        <w:ind w:left="357" w:hanging="357"/>
      </w:pPr>
      <w:bookmarkStart w:id="12" w:name="_Hlk148225554"/>
      <w:r>
        <w:rPr>
          <w:rFonts w:hint="eastAsia"/>
        </w:rPr>
        <w:t xml:space="preserve"> 圃地选择</w:t>
      </w:r>
    </w:p>
    <w:bookmarkEnd w:id="12"/>
    <w:p>
      <w:pPr>
        <w:widowControl/>
        <w:tabs>
          <w:tab w:val="center" w:pos="426"/>
          <w:tab w:val="right" w:leader="dot" w:pos="9298"/>
        </w:tabs>
        <w:autoSpaceDE w:val="0"/>
        <w:autoSpaceDN w:val="0"/>
        <w:spacing w:line="360" w:lineRule="auto"/>
        <w:ind w:firstLine="420" w:firstLineChars="200"/>
        <w:rPr>
          <w:rFonts w:ascii="Times New Roman" w:hAnsi="Times New Roman" w:cs="Times New Roman"/>
          <w:kern w:val="0"/>
          <w:szCs w:val="20"/>
        </w:rPr>
      </w:pPr>
      <w:r>
        <w:rPr>
          <w:rFonts w:ascii="Times New Roman" w:hAnsi="Times New Roman" w:cs="Times New Roman"/>
          <w:kern w:val="0"/>
          <w:szCs w:val="20"/>
        </w:rPr>
        <w:t>选择交通方便、地势平坦、光照充足、</w:t>
      </w:r>
      <w:r>
        <w:rPr>
          <w:rFonts w:hint="eastAsia" w:ascii="Times New Roman" w:hAnsi="Times New Roman" w:cs="Times New Roman"/>
          <w:kern w:val="0"/>
          <w:szCs w:val="20"/>
        </w:rPr>
        <w:t>便于</w:t>
      </w:r>
      <w:r>
        <w:rPr>
          <w:rFonts w:ascii="Times New Roman" w:hAnsi="Times New Roman" w:cs="Times New Roman"/>
          <w:kern w:val="0"/>
          <w:szCs w:val="20"/>
        </w:rPr>
        <w:t>灌溉、排水良好、土层深厚的地块。坡度1°～3°为宜，多雨地区可以为3°～5°缓坡。</w:t>
      </w:r>
    </w:p>
    <w:p>
      <w:pPr>
        <w:pStyle w:val="56"/>
        <w:numPr>
          <w:ilvl w:val="1"/>
          <w:numId w:val="16"/>
        </w:numPr>
        <w:spacing w:before="158" w:after="158"/>
      </w:pPr>
      <w:r>
        <w:rPr>
          <w:rFonts w:hint="eastAsia"/>
        </w:rPr>
        <w:t xml:space="preserve"> 播种育苗</w:t>
      </w:r>
    </w:p>
    <w:p>
      <w:pPr>
        <w:pStyle w:val="58"/>
        <w:numPr>
          <w:ilvl w:val="2"/>
          <w:numId w:val="16"/>
        </w:numPr>
        <w:spacing w:before="158" w:after="158"/>
        <w:ind w:left="2" w:hanging="2"/>
      </w:pPr>
      <w:r>
        <w:rPr>
          <w:rFonts w:hint="eastAsia"/>
        </w:rPr>
        <w:t>整地</w:t>
      </w:r>
    </w:p>
    <w:p>
      <w:pPr>
        <w:pStyle w:val="21"/>
        <w:tabs>
          <w:tab w:val="center" w:pos="0"/>
        </w:tabs>
        <w:spacing w:line="360" w:lineRule="auto"/>
        <w:rPr>
          <w:rFonts w:ascii="Times New Roman"/>
        </w:rPr>
      </w:pPr>
      <w:r>
        <w:rPr>
          <w:rFonts w:hint="eastAsia" w:ascii="Times New Roman"/>
        </w:rPr>
        <w:t>播种前翻耕土地20</w:t>
      </w:r>
      <w:r>
        <w:rPr>
          <w:rFonts w:ascii="Times New Roman"/>
        </w:rPr>
        <w:t xml:space="preserve"> cm </w:t>
      </w:r>
      <w:r>
        <w:rPr>
          <w:rFonts w:hint="eastAsia" w:ascii="Times New Roman"/>
        </w:rPr>
        <w:t>～</w:t>
      </w:r>
      <w:r>
        <w:rPr>
          <w:rFonts w:ascii="Times New Roman"/>
        </w:rPr>
        <w:t>30 cm</w:t>
      </w:r>
      <w:r>
        <w:rPr>
          <w:rFonts w:hint="eastAsia" w:ascii="Times New Roman"/>
        </w:rPr>
        <w:t>。育苗前应根据具体情况采取药剂消毒，按照GB 6001执行。</w:t>
      </w:r>
    </w:p>
    <w:p>
      <w:pPr>
        <w:pStyle w:val="58"/>
        <w:numPr>
          <w:ilvl w:val="2"/>
          <w:numId w:val="16"/>
        </w:numPr>
        <w:spacing w:before="158" w:after="158"/>
        <w:ind w:left="0" w:firstLine="0"/>
      </w:pPr>
      <w:r>
        <w:rPr>
          <w:rFonts w:hint="eastAsia"/>
        </w:rPr>
        <w:t>施基肥</w:t>
      </w:r>
    </w:p>
    <w:p>
      <w:pPr>
        <w:pStyle w:val="21"/>
        <w:tabs>
          <w:tab w:val="center" w:pos="0"/>
        </w:tabs>
        <w:spacing w:line="360" w:lineRule="auto"/>
        <w:rPr>
          <w:rFonts w:ascii="Times New Roman"/>
        </w:rPr>
      </w:pPr>
      <w:r>
        <w:rPr>
          <w:rFonts w:hint="eastAsia" w:ascii="Times New Roman"/>
        </w:rPr>
        <w:t>以生物有机肥或有机无机复混肥为主，撒施腐熟的有机肥、厩肥或复合肥。具体用量参见</w:t>
      </w:r>
      <w:r>
        <w:rPr>
          <w:szCs w:val="21"/>
        </w:rPr>
        <w:t>附录</w:t>
      </w:r>
      <w:r>
        <w:rPr>
          <w:rFonts w:ascii="Times New Roman"/>
          <w:szCs w:val="21"/>
        </w:rPr>
        <w:t>B</w:t>
      </w:r>
      <w:r>
        <w:rPr>
          <w:rFonts w:hint="eastAsia"/>
          <w:szCs w:val="21"/>
        </w:rPr>
        <w:t>。</w:t>
      </w:r>
    </w:p>
    <w:p>
      <w:pPr>
        <w:pStyle w:val="58"/>
        <w:numPr>
          <w:ilvl w:val="2"/>
          <w:numId w:val="16"/>
        </w:numPr>
        <w:spacing w:before="158" w:after="158"/>
        <w:ind w:left="0" w:firstLine="0"/>
      </w:pPr>
      <w:r>
        <w:rPr>
          <w:rFonts w:hint="eastAsia"/>
        </w:rPr>
        <w:t>苗床类型选择</w:t>
      </w:r>
    </w:p>
    <w:p>
      <w:pPr>
        <w:pStyle w:val="21"/>
        <w:spacing w:line="360" w:lineRule="auto"/>
      </w:pPr>
      <w:r>
        <w:rPr>
          <w:rFonts w:hint="eastAsia"/>
        </w:rPr>
        <w:t>根据树种特性、立地条件、气候特点确定苗床类型。气候湿润地区、水源充足、灌溉条件好或地下水位高的圃地采用高床或垄作；气候干旱或水源不足、灌溉条件差的圃地采用低床或平作。</w:t>
      </w:r>
    </w:p>
    <w:p>
      <w:pPr>
        <w:pStyle w:val="58"/>
        <w:numPr>
          <w:ilvl w:val="2"/>
          <w:numId w:val="16"/>
        </w:numPr>
        <w:spacing w:before="158" w:after="158"/>
        <w:ind w:left="0" w:firstLine="0"/>
      </w:pPr>
      <w:r>
        <w:rPr>
          <w:rFonts w:hint="eastAsia"/>
        </w:rPr>
        <w:t>选种及种子处理</w:t>
      </w:r>
    </w:p>
    <w:p>
      <w:pPr>
        <w:pStyle w:val="21"/>
        <w:tabs>
          <w:tab w:val="center" w:pos="0"/>
        </w:tabs>
        <w:spacing w:line="360" w:lineRule="auto"/>
        <w:rPr>
          <w:rFonts w:ascii="Times New Roman"/>
        </w:rPr>
      </w:pPr>
      <w:r>
        <w:rPr>
          <w:rFonts w:ascii="Times New Roman"/>
        </w:rPr>
        <w:t>应采用粒大饱满、色泽正常、无病虫害和经过认定的种子园的种子。如无种子园，可在</w:t>
      </w:r>
      <w:r>
        <w:rPr>
          <w:rFonts w:hint="eastAsia" w:ascii="Times New Roman"/>
        </w:rPr>
        <w:t>现有林</w:t>
      </w:r>
      <w:r>
        <w:rPr>
          <w:rFonts w:ascii="Times New Roman"/>
        </w:rPr>
        <w:t>中选择高产、高含油率的</w:t>
      </w:r>
      <w:r>
        <w:rPr>
          <w:rFonts w:hint="eastAsia" w:ascii="Times New Roman"/>
        </w:rPr>
        <w:t>优良单株</w:t>
      </w:r>
      <w:r>
        <w:rPr>
          <w:rFonts w:ascii="Times New Roman"/>
        </w:rPr>
        <w:t>做采种母树。</w:t>
      </w:r>
      <w:r>
        <w:rPr>
          <w:rFonts w:hint="eastAsia" w:ascii="Times New Roman"/>
        </w:rPr>
        <w:t>种子质量应达到GB7908要求的Ⅰ级种子或LY/T 2293、LY/T 2309等规定的合格种子的标准。播种前应做好种子处理。</w:t>
      </w:r>
    </w:p>
    <w:p>
      <w:pPr>
        <w:pStyle w:val="58"/>
        <w:numPr>
          <w:ilvl w:val="2"/>
          <w:numId w:val="16"/>
        </w:numPr>
        <w:spacing w:before="158" w:after="158"/>
        <w:ind w:left="0" w:firstLine="0"/>
      </w:pPr>
      <w:r>
        <w:rPr>
          <w:rFonts w:hint="eastAsia"/>
        </w:rPr>
        <w:t>播种</w:t>
      </w:r>
    </w:p>
    <w:p>
      <w:pPr>
        <w:pStyle w:val="58"/>
        <w:numPr>
          <w:ilvl w:val="0"/>
          <w:numId w:val="0"/>
        </w:numPr>
        <w:spacing w:before="158" w:after="158"/>
      </w:pPr>
      <w:r>
        <w:rPr>
          <w:rFonts w:hint="eastAsia"/>
        </w:rPr>
        <w:t>5.3.5.1</w:t>
      </w:r>
      <w:r>
        <w:t xml:space="preserve"> </w:t>
      </w:r>
      <w:r>
        <w:rPr>
          <w:rFonts w:hint="eastAsia"/>
        </w:rPr>
        <w:t xml:space="preserve"> 大田育苗</w:t>
      </w:r>
    </w:p>
    <w:p>
      <w:pPr>
        <w:autoSpaceDE w:val="0"/>
        <w:autoSpaceDN w:val="0"/>
        <w:adjustRightInd w:val="0"/>
        <w:spacing w:line="360" w:lineRule="auto"/>
        <w:ind w:firstLine="420" w:firstLineChars="200"/>
        <w:rPr>
          <w:szCs w:val="21"/>
        </w:rPr>
      </w:pPr>
      <w:r>
        <w:rPr>
          <w:szCs w:val="21"/>
        </w:rPr>
        <w:t>根据树种特性和气候条件确定播种期。春播应适时早播，对晚霜敏感的树种适当晚播。覆土厚度应考虑种粒大小、发芽类型、育苗地土质等。播前灌足底水。</w:t>
      </w:r>
      <w:r>
        <w:rPr>
          <w:rFonts w:hint="eastAsia"/>
          <w:szCs w:val="21"/>
        </w:rPr>
        <w:t>实生繁殖和砧木苗培育所需</w:t>
      </w:r>
      <w:r>
        <w:rPr>
          <w:szCs w:val="21"/>
        </w:rPr>
        <w:t>播种量</w:t>
      </w:r>
      <w:r>
        <w:rPr>
          <w:rFonts w:hint="eastAsia"/>
        </w:rPr>
        <w:t>参见</w:t>
      </w:r>
      <w:r>
        <w:rPr>
          <w:szCs w:val="21"/>
        </w:rPr>
        <w:t>附录</w:t>
      </w:r>
      <w:r>
        <w:rPr>
          <w:rFonts w:ascii="Times New Roman" w:hAnsi="Times New Roman" w:cs="Times New Roman"/>
          <w:szCs w:val="21"/>
        </w:rPr>
        <w:t>B</w:t>
      </w:r>
      <w:r>
        <w:rPr>
          <w:szCs w:val="21"/>
        </w:rPr>
        <w:t>，可根据圃地环境条件、育苗技术水平调整。</w:t>
      </w:r>
    </w:p>
    <w:p>
      <w:pPr>
        <w:pStyle w:val="58"/>
        <w:numPr>
          <w:ilvl w:val="0"/>
          <w:numId w:val="0"/>
        </w:numPr>
        <w:spacing w:before="158" w:after="158"/>
      </w:pPr>
      <w:r>
        <w:rPr>
          <w:rFonts w:hint="eastAsia"/>
        </w:rPr>
        <w:t>5.3.5.2</w:t>
      </w:r>
      <w:r>
        <w:t xml:space="preserve"> </w:t>
      </w:r>
      <w:r>
        <w:rPr>
          <w:rFonts w:hint="eastAsia"/>
        </w:rPr>
        <w:t xml:space="preserve"> 容器育苗</w:t>
      </w: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t>根据</w:t>
      </w:r>
      <w:r>
        <w:rPr>
          <w:rFonts w:hint="eastAsia" w:ascii="Times New Roman" w:hAnsi="Times New Roman" w:cs="Times New Roman"/>
          <w:szCs w:val="21"/>
        </w:rPr>
        <w:t>树种根系特性、造林立地条件选择适宜的</w:t>
      </w:r>
      <w:r>
        <w:rPr>
          <w:rFonts w:ascii="Times New Roman" w:hAnsi="Times New Roman" w:cs="Times New Roman"/>
          <w:szCs w:val="21"/>
        </w:rPr>
        <w:t>容器</w:t>
      </w:r>
      <w:r>
        <w:rPr>
          <w:rFonts w:hint="eastAsia" w:ascii="Times New Roman" w:hAnsi="Times New Roman" w:cs="Times New Roman"/>
          <w:szCs w:val="21"/>
        </w:rPr>
        <w:t>和基质</w:t>
      </w:r>
      <w:r>
        <w:rPr>
          <w:rFonts w:ascii="Times New Roman" w:hAnsi="Times New Roman" w:cs="Times New Roman"/>
          <w:szCs w:val="21"/>
        </w:rPr>
        <w:t>。</w:t>
      </w:r>
      <w:r>
        <w:rPr>
          <w:rFonts w:hint="eastAsia" w:ascii="Times New Roman" w:hAnsi="Times New Roman" w:cs="Times New Roman"/>
          <w:szCs w:val="21"/>
        </w:rPr>
        <w:t>具体参考</w:t>
      </w:r>
      <w:r>
        <w:rPr>
          <w:rFonts w:ascii="Times New Roman" w:hAnsi="Times New Roman" w:cs="Times New Roman"/>
          <w:kern w:val="0"/>
          <w:szCs w:val="20"/>
        </w:rPr>
        <w:t>LY/T 1000、NY/T 3519等的要求执行。</w:t>
      </w:r>
    </w:p>
    <w:p>
      <w:pPr>
        <w:pStyle w:val="58"/>
        <w:numPr>
          <w:ilvl w:val="2"/>
          <w:numId w:val="16"/>
        </w:numPr>
        <w:spacing w:before="158" w:after="158"/>
        <w:ind w:left="0" w:firstLine="0"/>
      </w:pPr>
      <w:r>
        <w:rPr>
          <w:rFonts w:hint="eastAsia"/>
        </w:rPr>
        <w:t>播后管理</w:t>
      </w:r>
    </w:p>
    <w:p>
      <w:pPr>
        <w:pStyle w:val="21"/>
        <w:tabs>
          <w:tab w:val="right" w:leader="dot" w:pos="0"/>
          <w:tab w:val="clear" w:pos="4201"/>
          <w:tab w:val="clear" w:pos="9298"/>
        </w:tabs>
        <w:spacing w:line="360" w:lineRule="auto"/>
        <w:rPr>
          <w:rFonts w:ascii="Times New Roman"/>
        </w:rPr>
      </w:pPr>
      <w:r>
        <w:rPr>
          <w:rFonts w:hint="eastAsia"/>
        </w:rPr>
        <w:t>按照</w:t>
      </w:r>
      <w:r>
        <w:rPr>
          <w:rFonts w:ascii="Times New Roman"/>
        </w:rPr>
        <w:t>GB 6001</w:t>
      </w:r>
      <w:r>
        <w:t>、</w:t>
      </w:r>
      <w:r>
        <w:rPr>
          <w:rFonts w:ascii="Times New Roman"/>
        </w:rPr>
        <w:t>N</w:t>
      </w:r>
      <w:r>
        <w:rPr>
          <w:rFonts w:hint="eastAsia" w:ascii="Times New Roman"/>
        </w:rPr>
        <w:t>Y/T</w:t>
      </w:r>
      <w:r>
        <w:rPr>
          <w:rFonts w:ascii="Times New Roman"/>
        </w:rPr>
        <w:t xml:space="preserve"> </w:t>
      </w:r>
      <w:r>
        <w:rPr>
          <w:rFonts w:hint="eastAsia" w:ascii="Times New Roman"/>
        </w:rPr>
        <w:t>3519</w:t>
      </w:r>
      <w:r>
        <w:rPr>
          <w:rFonts w:hint="eastAsia"/>
        </w:rPr>
        <w:t>等</w:t>
      </w:r>
      <w:r>
        <w:rPr>
          <w:rFonts w:hint="eastAsia" w:ascii="Times New Roman"/>
        </w:rPr>
        <w:t>规定</w:t>
      </w:r>
      <w:r>
        <w:rPr>
          <w:rFonts w:ascii="Times New Roman"/>
        </w:rPr>
        <w:t>执行。</w:t>
      </w:r>
    </w:p>
    <w:p>
      <w:pPr>
        <w:pStyle w:val="56"/>
        <w:numPr>
          <w:ilvl w:val="1"/>
          <w:numId w:val="16"/>
        </w:numPr>
        <w:spacing w:before="158" w:after="158"/>
        <w:ind w:left="-2" w:leftChars="-1"/>
      </w:pPr>
      <w:r>
        <w:rPr>
          <w:rFonts w:hint="eastAsia"/>
        </w:rPr>
        <w:t xml:space="preserve"> 嫁接育苗</w:t>
      </w:r>
    </w:p>
    <w:p>
      <w:pPr>
        <w:pStyle w:val="58"/>
        <w:numPr>
          <w:ilvl w:val="2"/>
          <w:numId w:val="16"/>
        </w:numPr>
        <w:spacing w:before="158" w:after="158"/>
        <w:ind w:left="2" w:hanging="2"/>
        <w:rPr>
          <w:bCs/>
        </w:rPr>
      </w:pPr>
      <w:r>
        <w:rPr>
          <w:rFonts w:hint="eastAsia"/>
          <w:bCs/>
        </w:rPr>
        <w:t>砧木培育</w:t>
      </w:r>
    </w:p>
    <w:p>
      <w:pPr>
        <w:pStyle w:val="57"/>
        <w:numPr>
          <w:ilvl w:val="0"/>
          <w:numId w:val="0"/>
        </w:numPr>
        <w:spacing w:before="158" w:beforeLines="50" w:after="158" w:afterLines="50"/>
        <w:rPr>
          <w:bCs/>
          <w:szCs w:val="21"/>
        </w:rPr>
      </w:pPr>
      <w:r>
        <w:rPr>
          <w:rFonts w:hint="eastAsia"/>
        </w:rPr>
        <w:t>5</w:t>
      </w:r>
      <w:r>
        <w:t>.</w:t>
      </w:r>
      <w:r>
        <w:rPr>
          <w:rFonts w:hint="eastAsia"/>
        </w:rPr>
        <w:t>4</w:t>
      </w:r>
      <w:r>
        <w:t>.1.1</w:t>
      </w:r>
      <w:r>
        <w:rPr>
          <w:rFonts w:hint="eastAsia"/>
        </w:rPr>
        <w:t xml:space="preserve">  砧木</w:t>
      </w:r>
      <w:r>
        <w:t>树种选择</w:t>
      </w:r>
    </w:p>
    <w:p>
      <w:pPr>
        <w:spacing w:line="360" w:lineRule="auto"/>
        <w:ind w:firstLine="420" w:firstLineChars="200"/>
        <w:rPr>
          <w:rFonts w:eastAsia="黑体"/>
          <w:bCs/>
          <w:color w:val="FF0000"/>
          <w:szCs w:val="21"/>
        </w:rPr>
      </w:pPr>
      <w:r>
        <w:t>选择与培育树种</w:t>
      </w:r>
      <w:r>
        <w:rPr>
          <w:rFonts w:hint="eastAsia"/>
        </w:rPr>
        <w:t>同种或嫁接亲和力强，</w:t>
      </w:r>
      <w:r>
        <w:t>对于营建地区具有较好的生态适应性，并且病虫害少的树种</w:t>
      </w:r>
      <w:r>
        <w:rPr>
          <w:rFonts w:hint="eastAsia"/>
        </w:rPr>
        <w:t>或品种</w:t>
      </w:r>
      <w:r>
        <w:t>作为砧木。</w:t>
      </w:r>
    </w:p>
    <w:p>
      <w:pPr>
        <w:pStyle w:val="57"/>
        <w:numPr>
          <w:ilvl w:val="0"/>
          <w:numId w:val="0"/>
        </w:numPr>
        <w:spacing w:before="158" w:beforeLines="50" w:after="158" w:afterLines="50"/>
        <w:rPr>
          <w:bCs/>
          <w:szCs w:val="21"/>
        </w:rPr>
      </w:pPr>
      <w:r>
        <w:rPr>
          <w:rFonts w:hint="eastAsia"/>
        </w:rPr>
        <w:t>5</w:t>
      </w:r>
      <w:r>
        <w:t>.</w:t>
      </w:r>
      <w:r>
        <w:rPr>
          <w:rFonts w:hint="eastAsia"/>
        </w:rPr>
        <w:t>4</w:t>
      </w:r>
      <w:r>
        <w:t>.1.</w:t>
      </w:r>
      <w:r>
        <w:rPr>
          <w:rFonts w:hint="eastAsia"/>
        </w:rPr>
        <w:t>2</w:t>
      </w:r>
      <w:r>
        <w:t xml:space="preserve"> </w:t>
      </w:r>
      <w:r>
        <w:rPr>
          <w:rFonts w:hint="eastAsia"/>
        </w:rPr>
        <w:t xml:space="preserve"> </w:t>
      </w:r>
      <w:r>
        <w:t>砧木</w:t>
      </w:r>
      <w:r>
        <w:rPr>
          <w:rFonts w:hint="eastAsia"/>
        </w:rPr>
        <w:t>育苗</w:t>
      </w:r>
    </w:p>
    <w:p>
      <w:pPr>
        <w:widowControl/>
        <w:tabs>
          <w:tab w:val="center" w:pos="4201"/>
          <w:tab w:val="right" w:leader="dot" w:pos="9298"/>
        </w:tabs>
        <w:autoSpaceDE w:val="0"/>
        <w:autoSpaceDN w:val="0"/>
        <w:spacing w:line="360" w:lineRule="auto"/>
        <w:ind w:firstLine="420" w:firstLineChars="200"/>
        <w:rPr>
          <w:rFonts w:ascii="Times New Roman" w:hAnsi="Times New Roman" w:cs="Times New Roman"/>
          <w:kern w:val="0"/>
          <w:szCs w:val="20"/>
        </w:rPr>
      </w:pPr>
      <w:r>
        <w:rPr>
          <w:rFonts w:ascii="Times New Roman" w:hAnsi="Times New Roman" w:cs="Times New Roman"/>
          <w:kern w:val="0"/>
          <w:szCs w:val="20"/>
        </w:rPr>
        <w:t>参考5.3、附录B。</w:t>
      </w:r>
    </w:p>
    <w:p>
      <w:pPr>
        <w:pStyle w:val="58"/>
        <w:numPr>
          <w:ilvl w:val="2"/>
          <w:numId w:val="16"/>
        </w:numPr>
        <w:spacing w:before="158" w:after="0" w:afterLines="0"/>
        <w:ind w:left="0" w:firstLine="0"/>
      </w:pPr>
      <w:r>
        <w:rPr>
          <w:rFonts w:hint="eastAsia"/>
          <w:bCs/>
        </w:rPr>
        <w:t>接穗采集</w:t>
      </w:r>
    </w:p>
    <w:p>
      <w:pPr>
        <w:spacing w:line="360" w:lineRule="auto"/>
        <w:ind w:firstLine="420" w:firstLineChars="200"/>
        <w:rPr>
          <w:szCs w:val="21"/>
        </w:rPr>
      </w:pPr>
      <w:r>
        <w:rPr>
          <w:szCs w:val="21"/>
        </w:rPr>
        <w:t>从</w:t>
      </w:r>
      <w:r>
        <w:rPr>
          <w:rFonts w:hint="eastAsia"/>
          <w:szCs w:val="21"/>
        </w:rPr>
        <w:t>良种</w:t>
      </w:r>
      <w:r>
        <w:rPr>
          <w:szCs w:val="21"/>
        </w:rPr>
        <w:t>采穗圃或优良品种、无性系</w:t>
      </w:r>
      <w:r>
        <w:rPr>
          <w:rFonts w:hint="eastAsia"/>
          <w:szCs w:val="21"/>
        </w:rPr>
        <w:t>、</w:t>
      </w:r>
      <w:r>
        <w:rPr>
          <w:szCs w:val="21"/>
        </w:rPr>
        <w:t>母树上剪取发育正常、芽体饱满的枝条作为穗</w:t>
      </w:r>
      <w:r>
        <w:rPr>
          <w:rFonts w:hint="eastAsia"/>
          <w:szCs w:val="21"/>
        </w:rPr>
        <w:t>条。</w:t>
      </w:r>
    </w:p>
    <w:p>
      <w:pPr>
        <w:pStyle w:val="58"/>
        <w:numPr>
          <w:ilvl w:val="2"/>
          <w:numId w:val="16"/>
        </w:numPr>
        <w:autoSpaceDE w:val="0"/>
        <w:autoSpaceDN w:val="0"/>
        <w:adjustRightInd w:val="0"/>
        <w:spacing w:before="158" w:after="158"/>
        <w:ind w:left="0" w:firstLine="0"/>
        <w:rPr>
          <w:bCs/>
        </w:rPr>
      </w:pPr>
      <w:r>
        <w:rPr>
          <w:bCs/>
        </w:rPr>
        <w:t>嫁接</w:t>
      </w:r>
      <w:r>
        <w:rPr>
          <w:rFonts w:hint="eastAsia"/>
          <w:bCs/>
        </w:rPr>
        <w:t>时间与方法</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选择1～2年生、生长健壮、抗逆性强的实生苗作砧木。春季嫁接在休眠期采集接穗，夏季随采随接。接穗放置于低温湿润处，防止失水、霉烂和发芽。根据树种特性和季节选择嫁接方法，具体参见附录B。</w:t>
      </w:r>
    </w:p>
    <w:p>
      <w:pPr>
        <w:pStyle w:val="58"/>
        <w:numPr>
          <w:ilvl w:val="2"/>
          <w:numId w:val="16"/>
        </w:numPr>
        <w:autoSpaceDE w:val="0"/>
        <w:autoSpaceDN w:val="0"/>
        <w:adjustRightInd w:val="0"/>
        <w:spacing w:before="158" w:after="158"/>
        <w:ind w:left="0" w:firstLine="0"/>
        <w:rPr>
          <w:bCs/>
        </w:rPr>
      </w:pPr>
      <w:r>
        <w:rPr>
          <w:bCs/>
        </w:rPr>
        <w:t>苗期管理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嫁接后及时检查成活率，解除绑扎物，芽接的在接口上方1 cm～2 cm处剪砧。未成活的及时补接。去除砧木萌蘖，接穗上保留1个健壮萌芽为主干</w:t>
      </w:r>
      <w:r>
        <w:rPr>
          <w:rFonts w:hint="eastAsia" w:ascii="Times New Roman" w:hAnsi="Times New Roman" w:cs="Times New Roman"/>
          <w:szCs w:val="21"/>
        </w:rPr>
        <w:t>，</w:t>
      </w:r>
      <w:r>
        <w:rPr>
          <w:rFonts w:ascii="Times New Roman" w:hAnsi="Times New Roman" w:cs="Times New Roman"/>
          <w:szCs w:val="21"/>
        </w:rPr>
        <w:t>根据情况立防风柱。</w:t>
      </w:r>
      <w:r>
        <w:rPr>
          <w:rFonts w:ascii="Times New Roman" w:hAnsi="Times New Roman" w:cs="Times New Roman"/>
          <w:kern w:val="0"/>
          <w:szCs w:val="21"/>
        </w:rPr>
        <w:t>根据树种特性</w:t>
      </w:r>
      <w:r>
        <w:rPr>
          <w:rFonts w:ascii="Times New Roman" w:hAnsi="Times New Roman" w:cs="Times New Roman"/>
          <w:szCs w:val="21"/>
        </w:rPr>
        <w:t>适时适量灌溉，雨季</w:t>
      </w:r>
      <w:r>
        <w:rPr>
          <w:rFonts w:hint="eastAsia" w:ascii="Times New Roman" w:hAnsi="Times New Roman" w:cs="Times New Roman"/>
          <w:szCs w:val="21"/>
        </w:rPr>
        <w:t>注意排水，</w:t>
      </w:r>
      <w:r>
        <w:rPr>
          <w:rFonts w:ascii="Times New Roman" w:hAnsi="Times New Roman" w:cs="Times New Roman"/>
          <w:kern w:val="0"/>
          <w:szCs w:val="21"/>
        </w:rPr>
        <w:t>适时适量施肥。</w:t>
      </w:r>
      <w:r>
        <w:rPr>
          <w:rFonts w:ascii="Times New Roman" w:hAnsi="Times New Roman" w:cs="Times New Roman"/>
          <w:szCs w:val="21"/>
        </w:rPr>
        <w:t>出圃前1个月停止施肥</w:t>
      </w:r>
      <w:r>
        <w:rPr>
          <w:rFonts w:hint="eastAsia" w:ascii="Times New Roman" w:hAnsi="Times New Roman" w:cs="Times New Roman"/>
          <w:szCs w:val="21"/>
        </w:rPr>
        <w:t>浇水</w:t>
      </w:r>
      <w:r>
        <w:rPr>
          <w:rFonts w:ascii="Times New Roman" w:hAnsi="Times New Roman" w:cs="Times New Roman"/>
          <w:szCs w:val="21"/>
        </w:rPr>
        <w:t>。</w:t>
      </w:r>
    </w:p>
    <w:p>
      <w:pPr>
        <w:pStyle w:val="56"/>
        <w:numPr>
          <w:ilvl w:val="1"/>
          <w:numId w:val="16"/>
        </w:numPr>
        <w:spacing w:before="158" w:after="158"/>
        <w:ind w:left="-2" w:leftChars="-1"/>
      </w:pPr>
      <w:r>
        <w:rPr>
          <w:rFonts w:hint="eastAsia"/>
        </w:rPr>
        <w:t xml:space="preserve"> </w:t>
      </w:r>
      <w:r>
        <w:t>扦插育苗</w:t>
      </w:r>
    </w:p>
    <w:p>
      <w:pPr>
        <w:pStyle w:val="58"/>
        <w:numPr>
          <w:ilvl w:val="2"/>
          <w:numId w:val="16"/>
        </w:numPr>
        <w:autoSpaceDE w:val="0"/>
        <w:autoSpaceDN w:val="0"/>
        <w:adjustRightInd w:val="0"/>
        <w:spacing w:before="158" w:after="158"/>
        <w:ind w:left="2" w:hanging="2"/>
        <w:rPr>
          <w:bCs/>
        </w:rPr>
      </w:pPr>
      <w:r>
        <w:rPr>
          <w:rFonts w:hint="eastAsia"/>
          <w:bCs/>
        </w:rPr>
        <w:t>插穗</w:t>
      </w:r>
      <w:r>
        <w:rPr>
          <w:bCs/>
        </w:rPr>
        <w:t>采集</w:t>
      </w: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t>采穗植株的选择方法同5.4.2。根据树种特点选择硬枝扦插、嫩枝扦插或根插，参见附录B。种条选择当年生健壮木质化或半木质化枝条。种根采用起苗切断和修剪下的侧根或挖取幼、壮年树木周围侧根。硬枝种条和种根在晚秋或早春采集，之后沙藏或窖藏。嫩枝种条在夏季采集，制穗后插入水中</w:t>
      </w:r>
      <w:r>
        <w:rPr>
          <w:rFonts w:hint="eastAsia" w:ascii="Times New Roman" w:hAnsi="Times New Roman" w:cs="Times New Roman"/>
          <w:szCs w:val="21"/>
        </w:rPr>
        <w:t>，置于阴凉处</w:t>
      </w:r>
      <w:r>
        <w:rPr>
          <w:rFonts w:ascii="Times New Roman" w:hAnsi="Times New Roman" w:cs="Times New Roman"/>
          <w:szCs w:val="21"/>
        </w:rPr>
        <w:t>。扦插前将种条（根）按一定长度截制成插穗，插穗至少保留2个节间。</w:t>
      </w:r>
    </w:p>
    <w:p>
      <w:pPr>
        <w:pStyle w:val="58"/>
        <w:numPr>
          <w:ilvl w:val="2"/>
          <w:numId w:val="16"/>
        </w:numPr>
        <w:autoSpaceDE w:val="0"/>
        <w:autoSpaceDN w:val="0"/>
        <w:adjustRightInd w:val="0"/>
        <w:spacing w:before="158" w:after="158"/>
        <w:ind w:left="0" w:firstLine="0"/>
        <w:rPr>
          <w:bCs/>
        </w:rPr>
      </w:pPr>
      <w:r>
        <w:rPr>
          <w:bCs/>
        </w:rPr>
        <w:t>扦插</w:t>
      </w:r>
      <w:r>
        <w:rPr>
          <w:rFonts w:hint="eastAsia"/>
          <w:bCs/>
        </w:rPr>
        <w:t>时间与</w:t>
      </w:r>
      <w:r>
        <w:rPr>
          <w:bCs/>
        </w:rPr>
        <w:t>方法</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硬枝扦插和根插在春季适时进行，嫩枝扦插随采随插。</w:t>
      </w:r>
      <w:r>
        <w:rPr>
          <w:rFonts w:hint="eastAsia" w:ascii="Times New Roman" w:hAnsi="Times New Roman" w:cs="Times New Roman"/>
          <w:szCs w:val="21"/>
        </w:rPr>
        <w:t>扦插易成活的树种可采用大田扦插育苗，成活率较低的树种及灌木可采用</w:t>
      </w:r>
      <w:r>
        <w:rPr>
          <w:rFonts w:ascii="Times New Roman" w:hAnsi="Times New Roman" w:cs="Times New Roman"/>
          <w:szCs w:val="21"/>
        </w:rPr>
        <w:t>荫棚或建立全光喷雾设施。</w:t>
      </w:r>
      <w:r>
        <w:rPr>
          <w:rFonts w:hint="eastAsia" w:ascii="Times New Roman" w:hAnsi="Times New Roman" w:cs="Times New Roman"/>
          <w:szCs w:val="21"/>
        </w:rPr>
        <w:t>嫩枝扦插选用的床面地势应略高，易排水。</w:t>
      </w:r>
      <w:r>
        <w:rPr>
          <w:rFonts w:ascii="Times New Roman" w:hAnsi="Times New Roman" w:cs="Times New Roman"/>
          <w:szCs w:val="21"/>
        </w:rPr>
        <w:t>插前用生根促进剂处理插穗，扦插深度为穗长三分之一左右。插前灌足底水，早晨或傍晚扦插。插后踏实，及时喷水保湿。生根后及时炼苗，适当减少喷水。具体参见附录B。</w:t>
      </w:r>
    </w:p>
    <w:p>
      <w:pPr>
        <w:pStyle w:val="56"/>
        <w:numPr>
          <w:ilvl w:val="1"/>
          <w:numId w:val="16"/>
        </w:numPr>
        <w:spacing w:before="158" w:after="158"/>
        <w:ind w:left="355" w:leftChars="-1" w:hanging="357"/>
      </w:pPr>
      <w:r>
        <w:rPr>
          <w:rFonts w:hint="eastAsia"/>
        </w:rPr>
        <w:t xml:space="preserve"> </w:t>
      </w:r>
      <w:r>
        <w:t>苗木出圃</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出圃苗规格参见附录B。容器育苗出圃前应炼苗。起苗时间与造林季节配合。起苗时少伤侧根，起苗后进行分级。苗木出圃时应严格检验检疫。根据苗木大小和运输距离采取相应的包装方法。运输苗木注意保持根部湿润。不能及时栽植的苗木要假植。</w:t>
      </w:r>
    </w:p>
    <w:p>
      <w:pPr>
        <w:pStyle w:val="2"/>
        <w:spacing w:before="317" w:beforeLines="100" w:after="317" w:afterLines="100"/>
        <w:rPr>
          <w:sz w:val="21"/>
          <w:szCs w:val="21"/>
        </w:rPr>
      </w:pPr>
      <w:r>
        <w:rPr>
          <w:rFonts w:hint="eastAsia"/>
          <w:sz w:val="21"/>
          <w:szCs w:val="21"/>
        </w:rPr>
        <w:t>6</w:t>
      </w:r>
      <w:r>
        <w:rPr>
          <w:sz w:val="21"/>
          <w:szCs w:val="21"/>
        </w:rPr>
        <w:t xml:space="preserve">  造林</w:t>
      </w:r>
    </w:p>
    <w:p>
      <w:pPr>
        <w:pStyle w:val="56"/>
        <w:numPr>
          <w:ilvl w:val="1"/>
          <w:numId w:val="6"/>
        </w:numPr>
        <w:spacing w:before="158" w:after="158"/>
        <w:ind w:left="357" w:hanging="357"/>
      </w:pPr>
      <w:r>
        <w:rPr>
          <w:rFonts w:hint="eastAsia"/>
        </w:rPr>
        <w:t xml:space="preserve"> </w:t>
      </w:r>
      <w:r>
        <w:t>造林地选择</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应结合树种的生物生态学特性、气候条件、立地条件选择造林地。宜选择阳坡、半阳坡、土层深厚的造林地。具体参见附录A、C。</w:t>
      </w:r>
    </w:p>
    <w:p>
      <w:pPr>
        <w:pStyle w:val="56"/>
        <w:numPr>
          <w:ilvl w:val="1"/>
          <w:numId w:val="6"/>
        </w:numPr>
        <w:spacing w:before="158" w:after="158"/>
        <w:ind w:left="357" w:hanging="357"/>
      </w:pPr>
      <w:r>
        <w:t xml:space="preserve"> </w:t>
      </w:r>
      <w:r>
        <w:rPr>
          <w:rFonts w:hint="eastAsia"/>
        </w:rPr>
        <w:t>规划设计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按照LY/T 1607的规定执行。</w:t>
      </w:r>
    </w:p>
    <w:p>
      <w:pPr>
        <w:pStyle w:val="56"/>
        <w:numPr>
          <w:ilvl w:val="1"/>
          <w:numId w:val="6"/>
        </w:numPr>
        <w:spacing w:before="158" w:after="158"/>
        <w:ind w:left="355" w:leftChars="-1" w:hanging="357"/>
      </w:pPr>
      <w:r>
        <w:rPr>
          <w:rFonts w:hint="eastAsia"/>
        </w:rPr>
        <w:t xml:space="preserve"> </w:t>
      </w:r>
      <w:r>
        <w:t>林地清理</w:t>
      </w:r>
    </w:p>
    <w:p>
      <w:pPr>
        <w:widowControl/>
        <w:autoSpaceDE w:val="0"/>
        <w:autoSpaceDN w:val="0"/>
        <w:spacing w:line="360" w:lineRule="auto"/>
        <w:ind w:firstLine="420" w:firstLineChars="200"/>
        <w:rPr>
          <w:kern w:val="0"/>
          <w:szCs w:val="21"/>
        </w:rPr>
      </w:pPr>
      <w:r>
        <w:rPr>
          <w:kern w:val="0"/>
          <w:szCs w:val="21"/>
        </w:rPr>
        <w:t>杂灌荒草、采伐剩余物等影响到造林技术实施时应进行造林地清理，具体方式采用带状或块状清理，地势平坦、集约经营强度较大的也可采取全面清理。</w:t>
      </w:r>
    </w:p>
    <w:p>
      <w:pPr>
        <w:pStyle w:val="56"/>
        <w:numPr>
          <w:ilvl w:val="1"/>
          <w:numId w:val="6"/>
        </w:numPr>
        <w:spacing w:before="158" w:after="158"/>
        <w:ind w:left="355" w:leftChars="-1" w:hanging="357"/>
      </w:pPr>
      <w:r>
        <w:rPr>
          <w:rFonts w:hint="eastAsia"/>
        </w:rPr>
        <w:t xml:space="preserve"> </w:t>
      </w:r>
      <w:r>
        <w:t>整地</w:t>
      </w:r>
    </w:p>
    <w:p>
      <w:pPr>
        <w:autoSpaceDE w:val="0"/>
        <w:autoSpaceDN w:val="0"/>
        <w:adjustRightInd w:val="0"/>
        <w:spacing w:line="360" w:lineRule="auto"/>
        <w:ind w:firstLine="420" w:firstLineChars="200"/>
        <w:rPr>
          <w:szCs w:val="21"/>
        </w:rPr>
      </w:pPr>
      <w:r>
        <w:rPr>
          <w:rFonts w:ascii="Times New Roman" w:hAnsi="Times New Roman" w:cs="Times New Roman"/>
          <w:szCs w:val="21"/>
        </w:rPr>
        <w:t>造林前</w:t>
      </w:r>
      <w:r>
        <w:rPr>
          <w:rFonts w:hint="eastAsia" w:ascii="Times New Roman" w:hAnsi="Times New Roman" w:cs="Times New Roman"/>
          <w:szCs w:val="21"/>
        </w:rPr>
        <w:t>需进行整地，</w:t>
      </w:r>
      <w:r>
        <w:rPr>
          <w:szCs w:val="21"/>
        </w:rPr>
        <w:t>根据树种、气候、立地条件确定</w:t>
      </w:r>
      <w:r>
        <w:rPr>
          <w:rFonts w:hint="eastAsia"/>
          <w:szCs w:val="21"/>
        </w:rPr>
        <w:t>整地时间和整地方式</w:t>
      </w:r>
      <w:r>
        <w:rPr>
          <w:szCs w:val="21"/>
        </w:rPr>
        <w:t>。平坦地采用穴状整地，坡地采取鱼鳞坑、水平阶、撂壕或反坡梯田整地。</w:t>
      </w:r>
    </w:p>
    <w:p>
      <w:pPr>
        <w:pStyle w:val="56"/>
        <w:numPr>
          <w:ilvl w:val="1"/>
          <w:numId w:val="6"/>
        </w:numPr>
        <w:spacing w:before="158" w:after="158"/>
        <w:ind w:left="357" w:hanging="357"/>
      </w:pPr>
      <w:r>
        <w:rPr>
          <w:rFonts w:hint="eastAsia"/>
        </w:rPr>
        <w:t xml:space="preserve"> 施</w:t>
      </w:r>
      <w:r>
        <w:t>基肥</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以各种腐熟的有机肥为主，适当配以少量无机肥。施肥量视土壤养分状况而定，亦可测土配方施肥。基肥与一定量表土混合均匀，在定植前一个月施入种植穴中，表面盖土。</w:t>
      </w:r>
      <w:r>
        <w:rPr>
          <w:rFonts w:ascii="Times New Roman" w:hAnsi="Times New Roman" w:cs="Times New Roman"/>
        </w:rPr>
        <w:t>具体参见</w:t>
      </w:r>
      <w:r>
        <w:rPr>
          <w:rFonts w:ascii="Times New Roman" w:hAnsi="Times New Roman" w:cs="Times New Roman"/>
          <w:szCs w:val="21"/>
        </w:rPr>
        <w:t>附录C。</w:t>
      </w:r>
    </w:p>
    <w:p>
      <w:pPr>
        <w:pStyle w:val="56"/>
        <w:numPr>
          <w:ilvl w:val="1"/>
          <w:numId w:val="6"/>
        </w:numPr>
        <w:spacing w:before="158" w:after="158"/>
        <w:ind w:left="-2" w:leftChars="-1"/>
      </w:pPr>
      <w:r>
        <w:rPr>
          <w:rFonts w:hint="eastAsia"/>
        </w:rPr>
        <w:t xml:space="preserve"> </w:t>
      </w:r>
      <w:r>
        <w:t>栽植</w:t>
      </w:r>
    </w:p>
    <w:p>
      <w:pPr>
        <w:pStyle w:val="58"/>
        <w:numPr>
          <w:ilvl w:val="2"/>
          <w:numId w:val="6"/>
        </w:numPr>
        <w:autoSpaceDE w:val="0"/>
        <w:autoSpaceDN w:val="0"/>
        <w:adjustRightInd w:val="0"/>
        <w:spacing w:before="158" w:after="158"/>
        <w:ind w:left="2" w:hanging="2"/>
        <w:rPr>
          <w:bCs/>
        </w:rPr>
      </w:pPr>
      <w:r>
        <w:rPr>
          <w:rFonts w:hint="eastAsia"/>
          <w:bCs/>
        </w:rPr>
        <w:t>栽植</w:t>
      </w:r>
      <w:r>
        <w:rPr>
          <w:bCs/>
        </w:rPr>
        <w:t>时间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北方地区</w:t>
      </w:r>
      <w:r>
        <w:rPr>
          <w:rFonts w:ascii="Times New Roman" w:hAnsi="Times New Roman" w:cs="Times New Roman"/>
          <w:szCs w:val="21"/>
        </w:rPr>
        <w:t>一般春季土壤解冻后苗木发芽前、秋冬季落叶后土壤冻结前均可栽植。</w:t>
      </w:r>
      <w:r>
        <w:rPr>
          <w:rFonts w:hint="eastAsia" w:ascii="Times New Roman" w:hAnsi="Times New Roman" w:cs="Times New Roman"/>
          <w:szCs w:val="21"/>
        </w:rPr>
        <w:t>南方</w:t>
      </w:r>
      <w:r>
        <w:rPr>
          <w:rFonts w:ascii="Times New Roman" w:hAnsi="Times New Roman" w:cs="Times New Roman"/>
          <w:szCs w:val="21"/>
        </w:rPr>
        <w:t>土壤不冻结地区可冬季造林。干热河谷地区6月中旬至7月下旬，透雨后尽早栽植。</w:t>
      </w:r>
    </w:p>
    <w:p>
      <w:pPr>
        <w:pStyle w:val="58"/>
        <w:numPr>
          <w:ilvl w:val="2"/>
          <w:numId w:val="6"/>
        </w:numPr>
        <w:autoSpaceDE w:val="0"/>
        <w:autoSpaceDN w:val="0"/>
        <w:adjustRightInd w:val="0"/>
        <w:spacing w:before="158" w:after="158"/>
        <w:ind w:left="0" w:firstLine="0"/>
        <w:rPr>
          <w:bCs/>
        </w:rPr>
      </w:pPr>
      <w:r>
        <w:rPr>
          <w:rFonts w:hint="eastAsia"/>
          <w:bCs/>
        </w:rPr>
        <w:t>栽植</w:t>
      </w:r>
      <w:r>
        <w:rPr>
          <w:bCs/>
        </w:rPr>
        <w:t>密度</w:t>
      </w:r>
    </w:p>
    <w:p>
      <w:pPr>
        <w:spacing w:line="360" w:lineRule="auto"/>
        <w:ind w:firstLine="420" w:firstLineChars="200"/>
        <w:rPr>
          <w:szCs w:val="21"/>
        </w:rPr>
      </w:pPr>
      <w:r>
        <w:rPr>
          <w:szCs w:val="21"/>
        </w:rPr>
        <w:t>参见附录</w:t>
      </w:r>
      <w:r>
        <w:rPr>
          <w:rFonts w:ascii="Times New Roman" w:hAnsi="Times New Roman" w:cs="Times New Roman"/>
          <w:szCs w:val="21"/>
        </w:rPr>
        <w:t>C</w:t>
      </w:r>
      <w:r>
        <w:rPr>
          <w:szCs w:val="21"/>
        </w:rPr>
        <w:t>。</w:t>
      </w:r>
    </w:p>
    <w:p>
      <w:pPr>
        <w:pStyle w:val="58"/>
        <w:numPr>
          <w:ilvl w:val="2"/>
          <w:numId w:val="6"/>
        </w:numPr>
        <w:autoSpaceDE w:val="0"/>
        <w:autoSpaceDN w:val="0"/>
        <w:adjustRightInd w:val="0"/>
        <w:spacing w:before="158" w:after="158"/>
        <w:ind w:left="0" w:firstLine="0"/>
        <w:rPr>
          <w:bCs/>
        </w:rPr>
      </w:pPr>
      <w:r>
        <w:rPr>
          <w:bCs/>
        </w:rPr>
        <w:t>苗木处理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造林苗木采用Ⅰ～Ⅱ级苗。适当修剪受伤根系、过长主根和侧根。干旱地区栽植裸根苗宜采用蘸泥浆、保水剂等方法。</w:t>
      </w:r>
    </w:p>
    <w:p>
      <w:pPr>
        <w:pStyle w:val="58"/>
        <w:numPr>
          <w:ilvl w:val="2"/>
          <w:numId w:val="6"/>
        </w:numPr>
        <w:autoSpaceDE w:val="0"/>
        <w:autoSpaceDN w:val="0"/>
        <w:adjustRightInd w:val="0"/>
        <w:spacing w:before="158" w:after="158"/>
        <w:ind w:left="0" w:firstLine="0"/>
        <w:rPr>
          <w:bCs/>
        </w:rPr>
      </w:pPr>
      <w:r>
        <w:rPr>
          <w:bCs/>
        </w:rPr>
        <w:t>配置授粉树</w:t>
      </w:r>
    </w:p>
    <w:p>
      <w:pPr>
        <w:spacing w:line="360" w:lineRule="auto"/>
        <w:ind w:firstLine="420" w:firstLineChars="200"/>
        <w:rPr>
          <w:rFonts w:ascii="Times New Roman" w:hAnsi="Times New Roman" w:cs="Times New Roman"/>
          <w:color w:val="FF0000"/>
          <w:szCs w:val="21"/>
        </w:rPr>
      </w:pPr>
      <w:r>
        <w:rPr>
          <w:rFonts w:ascii="Times New Roman" w:hAnsi="Times New Roman" w:cs="Times New Roman"/>
          <w:szCs w:val="21"/>
        </w:rPr>
        <w:t>自交不亲和树种、雌雄异株树种、雌雄异熟树种，需要配置适宜的授粉品种。雌雄同株树种主栽品种与授粉品种的比例为3～4</w:t>
      </w:r>
      <w:r>
        <w:rPr>
          <w:rFonts w:ascii="Times New Roman" w:hAnsi="Times New Roman" w:cs="Times New Roman"/>
          <w:kern w:val="0"/>
          <w:sz w:val="18"/>
          <w:szCs w:val="18"/>
        </w:rPr>
        <w:t>︰</w:t>
      </w:r>
      <w:r>
        <w:rPr>
          <w:rFonts w:ascii="Times New Roman" w:hAnsi="Times New Roman" w:cs="Times New Roman"/>
          <w:szCs w:val="21"/>
        </w:rPr>
        <w:t>1。雌雄异株树种按8（雌）</w:t>
      </w:r>
      <w:r>
        <w:rPr>
          <w:rFonts w:ascii="Times New Roman" w:hAnsi="Times New Roman" w:cs="Times New Roman"/>
          <w:kern w:val="0"/>
          <w:sz w:val="18"/>
          <w:szCs w:val="18"/>
        </w:rPr>
        <w:t>︰</w:t>
      </w:r>
      <w:r>
        <w:rPr>
          <w:rFonts w:ascii="Times New Roman" w:hAnsi="Times New Roman" w:cs="Times New Roman"/>
          <w:szCs w:val="21"/>
        </w:rPr>
        <w:t>1（雄）中心点式配置。</w:t>
      </w:r>
    </w:p>
    <w:p>
      <w:pPr>
        <w:pStyle w:val="58"/>
        <w:numPr>
          <w:ilvl w:val="2"/>
          <w:numId w:val="6"/>
        </w:numPr>
        <w:autoSpaceDE w:val="0"/>
        <w:autoSpaceDN w:val="0"/>
        <w:adjustRightInd w:val="0"/>
        <w:spacing w:before="158" w:after="158"/>
        <w:ind w:left="0" w:firstLine="0"/>
        <w:rPr>
          <w:bCs/>
        </w:rPr>
      </w:pPr>
      <w:r>
        <w:rPr>
          <w:bCs/>
        </w:rPr>
        <w:t>栽植技术</w:t>
      </w:r>
    </w:p>
    <w:p>
      <w:pPr>
        <w:spacing w:line="360" w:lineRule="auto"/>
        <w:ind w:firstLine="420" w:firstLineChars="200"/>
        <w:jc w:val="left"/>
        <w:rPr>
          <w:szCs w:val="21"/>
        </w:rPr>
      </w:pPr>
      <w:r>
        <w:rPr>
          <w:szCs w:val="21"/>
        </w:rPr>
        <w:t>做到根舒、苗正、土实，栽植深度为苗木根颈处与地面齐平或略低于地面。栽植后浇透水</w:t>
      </w:r>
      <w:r>
        <w:rPr>
          <w:rFonts w:hint="eastAsia"/>
          <w:szCs w:val="21"/>
        </w:rPr>
        <w:t>，</w:t>
      </w:r>
      <w:r>
        <w:rPr>
          <w:szCs w:val="21"/>
        </w:rPr>
        <w:t>干旱地区宜采用栽植穴覆膜等</w:t>
      </w:r>
      <w:r>
        <w:rPr>
          <w:rFonts w:hint="eastAsia"/>
          <w:szCs w:val="21"/>
        </w:rPr>
        <w:t>保墒</w:t>
      </w:r>
      <w:r>
        <w:rPr>
          <w:szCs w:val="21"/>
        </w:rPr>
        <w:t>措施。</w:t>
      </w:r>
    </w:p>
    <w:p>
      <w:pPr>
        <w:pStyle w:val="56"/>
        <w:numPr>
          <w:ilvl w:val="1"/>
          <w:numId w:val="6"/>
        </w:numPr>
        <w:spacing w:before="158" w:after="158"/>
        <w:ind w:left="355" w:leftChars="-1" w:hanging="357"/>
      </w:pPr>
      <w:r>
        <w:rPr>
          <w:rFonts w:hint="eastAsia"/>
        </w:rPr>
        <w:t xml:space="preserve"> </w:t>
      </w:r>
      <w:r>
        <w:t>补植</w:t>
      </w:r>
    </w:p>
    <w:p>
      <w:pPr>
        <w:spacing w:line="360" w:lineRule="auto"/>
        <w:ind w:firstLine="420" w:firstLineChars="200"/>
        <w:rPr>
          <w:szCs w:val="21"/>
        </w:rPr>
      </w:pPr>
      <w:r>
        <w:rPr>
          <w:szCs w:val="21"/>
        </w:rPr>
        <w:t>未成活的苗木及时补植备用的同龄大苗。</w:t>
      </w:r>
    </w:p>
    <w:p>
      <w:pPr>
        <w:pStyle w:val="72"/>
        <w:spacing w:before="317" w:beforeLines="100" w:after="317" w:afterLines="100"/>
        <w:ind w:left="357" w:hanging="357"/>
        <w:rPr>
          <w:rFonts w:ascii="黑体" w:hAnsi="黑体" w:eastAsia="黑体"/>
          <w:sz w:val="21"/>
          <w:szCs w:val="21"/>
        </w:rPr>
      </w:pPr>
      <w:r>
        <w:rPr>
          <w:rFonts w:ascii="黑体" w:hAnsi="黑体" w:eastAsia="黑体"/>
          <w:sz w:val="21"/>
          <w:szCs w:val="21"/>
        </w:rPr>
        <w:t>经营管护</w:t>
      </w:r>
    </w:p>
    <w:p>
      <w:pPr>
        <w:pStyle w:val="56"/>
        <w:numPr>
          <w:ilvl w:val="0"/>
          <w:numId w:val="0"/>
        </w:numPr>
        <w:spacing w:before="158" w:after="158"/>
      </w:pPr>
      <w:r>
        <w:rPr>
          <w:rFonts w:hint="eastAsia"/>
        </w:rPr>
        <w:t>7</w:t>
      </w:r>
      <w:r>
        <w:t>.1 土壤管理</w:t>
      </w:r>
    </w:p>
    <w:p>
      <w:pPr>
        <w:pStyle w:val="58"/>
        <w:numPr>
          <w:ilvl w:val="0"/>
          <w:numId w:val="0"/>
        </w:numPr>
        <w:autoSpaceDE w:val="0"/>
        <w:autoSpaceDN w:val="0"/>
        <w:adjustRightInd w:val="0"/>
        <w:spacing w:before="158" w:after="158"/>
        <w:ind w:left="2"/>
        <w:rPr>
          <w:bCs/>
        </w:rPr>
      </w:pPr>
      <w:r>
        <w:rPr>
          <w:rFonts w:hint="eastAsia"/>
          <w:bCs/>
        </w:rPr>
        <w:t>7</w:t>
      </w:r>
      <w:r>
        <w:rPr>
          <w:bCs/>
        </w:rPr>
        <w:t xml:space="preserve">.1.1 </w:t>
      </w:r>
      <w:r>
        <w:rPr>
          <w:rFonts w:hint="eastAsia"/>
          <w:bCs/>
        </w:rPr>
        <w:t>中耕除草</w:t>
      </w:r>
      <w:r>
        <w:rPr>
          <w:bCs/>
        </w:rPr>
        <w:t xml:space="preserve">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幼林期</w:t>
      </w:r>
      <w:r>
        <w:rPr>
          <w:rFonts w:ascii="Times New Roman" w:hAnsi="Times New Roman" w:cs="Times New Roman"/>
          <w:szCs w:val="21"/>
        </w:rPr>
        <w:t>春季进行中耕，每年</w:t>
      </w:r>
      <w:r>
        <w:rPr>
          <w:rFonts w:hint="eastAsia" w:ascii="Times New Roman" w:hAnsi="Times New Roman" w:cs="Times New Roman"/>
          <w:szCs w:val="21"/>
        </w:rPr>
        <w:t>宜割灌</w:t>
      </w:r>
      <w:r>
        <w:rPr>
          <w:rFonts w:ascii="Times New Roman" w:hAnsi="Times New Roman" w:cs="Times New Roman"/>
          <w:szCs w:val="21"/>
        </w:rPr>
        <w:t>除草1～3次。提倡以耕代抚。具体</w:t>
      </w:r>
      <w:r>
        <w:rPr>
          <w:rFonts w:ascii="Times New Roman" w:hAnsi="Times New Roman" w:cs="Times New Roman"/>
        </w:rPr>
        <w:t>参见</w:t>
      </w:r>
      <w:r>
        <w:rPr>
          <w:rFonts w:ascii="Times New Roman" w:hAnsi="Times New Roman" w:cs="Times New Roman"/>
          <w:szCs w:val="21"/>
        </w:rPr>
        <w:t>附录C。</w:t>
      </w:r>
    </w:p>
    <w:p>
      <w:pPr>
        <w:pStyle w:val="58"/>
        <w:numPr>
          <w:ilvl w:val="2"/>
          <w:numId w:val="17"/>
        </w:numPr>
        <w:autoSpaceDE w:val="0"/>
        <w:autoSpaceDN w:val="0"/>
        <w:adjustRightInd w:val="0"/>
        <w:spacing w:before="158" w:after="158"/>
        <w:rPr>
          <w:bCs/>
        </w:rPr>
      </w:pPr>
      <w:r>
        <w:rPr>
          <w:bCs/>
        </w:rPr>
        <w:t>水肥管理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根据土壤肥力状况、树种特性、花果</w:t>
      </w:r>
      <w:r>
        <w:rPr>
          <w:rFonts w:hint="eastAsia" w:ascii="Times New Roman" w:hAnsi="Times New Roman" w:cs="Times New Roman"/>
          <w:szCs w:val="21"/>
        </w:rPr>
        <w:t>物候</w:t>
      </w:r>
      <w:r>
        <w:rPr>
          <w:rFonts w:ascii="Times New Roman" w:hAnsi="Times New Roman" w:cs="Times New Roman"/>
          <w:szCs w:val="21"/>
        </w:rPr>
        <w:t>期的生长需求等进行适时适量</w:t>
      </w:r>
      <w:r>
        <w:rPr>
          <w:rFonts w:hint="eastAsia" w:ascii="Times New Roman" w:hAnsi="Times New Roman" w:cs="Times New Roman"/>
          <w:szCs w:val="21"/>
        </w:rPr>
        <w:t>合理</w:t>
      </w:r>
      <w:r>
        <w:rPr>
          <w:rFonts w:ascii="Times New Roman" w:hAnsi="Times New Roman" w:cs="Times New Roman"/>
          <w:szCs w:val="21"/>
        </w:rPr>
        <w:t>施肥。</w:t>
      </w:r>
      <w:r>
        <w:rPr>
          <w:rFonts w:hint="eastAsia" w:ascii="Times New Roman" w:hAnsi="Times New Roman" w:cs="Times New Roman"/>
          <w:szCs w:val="21"/>
        </w:rPr>
        <w:t>花期前、果实膨大期、采收后应施肥。</w:t>
      </w:r>
      <w:r>
        <w:rPr>
          <w:rFonts w:ascii="Times New Roman" w:hAnsi="Times New Roman" w:cs="Times New Roman"/>
          <w:szCs w:val="21"/>
        </w:rPr>
        <w:t>可采取环状沟施、放射沟施、条沟施肥、撒施、灌溉施肥等方式。随树体增大，施肥量酌量增加。提倡采用有机肥或测土施肥。可以根据需要在生育期进行根外追肥，</w:t>
      </w:r>
      <w:r>
        <w:rPr>
          <w:rFonts w:ascii="Times New Roman" w:hAnsi="Times New Roman" w:cs="Times New Roman"/>
        </w:rPr>
        <w:t>参见</w:t>
      </w:r>
      <w:r>
        <w:rPr>
          <w:rFonts w:ascii="Times New Roman" w:hAnsi="Times New Roman" w:cs="Times New Roman"/>
          <w:szCs w:val="21"/>
        </w:rPr>
        <w:t>附录C。</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根据物候期及土壤墒情，</w:t>
      </w:r>
      <w:r>
        <w:rPr>
          <w:rFonts w:ascii="Times New Roman" w:hAnsi="Times New Roman" w:cs="Times New Roman"/>
          <w:szCs w:val="21"/>
        </w:rPr>
        <w:t>结合施肥进行</w:t>
      </w:r>
      <w:r>
        <w:rPr>
          <w:rFonts w:hint="eastAsia" w:ascii="Times New Roman" w:hAnsi="Times New Roman" w:cs="Times New Roman"/>
          <w:szCs w:val="21"/>
        </w:rPr>
        <w:t>适量</w:t>
      </w:r>
      <w:r>
        <w:rPr>
          <w:rFonts w:ascii="Times New Roman" w:hAnsi="Times New Roman" w:cs="Times New Roman"/>
          <w:szCs w:val="21"/>
        </w:rPr>
        <w:t>灌溉。鼓励使用滴灌。无灌溉条件的要充分利蓄水保墒措施。对于不耐涝树种，林地处于地势低洼地段或盐碱地或雨季林地有积水时，应及时排水。</w:t>
      </w:r>
    </w:p>
    <w:p>
      <w:pPr>
        <w:pStyle w:val="56"/>
        <w:numPr>
          <w:ilvl w:val="1"/>
          <w:numId w:val="6"/>
        </w:numPr>
        <w:spacing w:before="158" w:after="158"/>
        <w:ind w:left="355" w:leftChars="-1" w:hanging="357"/>
      </w:pPr>
      <w:r>
        <w:rPr>
          <w:rFonts w:hint="eastAsia"/>
        </w:rPr>
        <w:t xml:space="preserve"> </w:t>
      </w:r>
      <w:r>
        <w:t>树体管理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幼树至初产期，以整形为主，</w:t>
      </w:r>
      <w:r>
        <w:rPr>
          <w:rFonts w:hint="eastAsia" w:ascii="Times New Roman" w:hAnsi="Times New Roman" w:cs="Times New Roman"/>
          <w:szCs w:val="21"/>
        </w:rPr>
        <w:t>及时定干定型，</w:t>
      </w:r>
      <w:r>
        <w:rPr>
          <w:rFonts w:ascii="Times New Roman" w:hAnsi="Times New Roman" w:cs="Times New Roman"/>
          <w:szCs w:val="21"/>
        </w:rPr>
        <w:t>加速扩大树冠，促进提早结果，修剪程度要轻。盛产期以后，修剪程度应适当加重，使营养枝与结果枝有一定比例。进入衰老期，更新复壮。及时疏除过密枝、交叉枝、病虫枝、细弱枝、徒长枝等。根据需要在花期、果期采取疏花、疏果等措施。具体参</w:t>
      </w:r>
      <w:r>
        <w:rPr>
          <w:rFonts w:ascii="Times New Roman" w:hAnsi="Times New Roman" w:cs="Times New Roman"/>
        </w:rPr>
        <w:t>见</w:t>
      </w:r>
      <w:r>
        <w:rPr>
          <w:rFonts w:ascii="Times New Roman" w:hAnsi="Times New Roman" w:cs="Times New Roman"/>
          <w:szCs w:val="21"/>
        </w:rPr>
        <w:t xml:space="preserve">附录C。 </w:t>
      </w:r>
    </w:p>
    <w:p>
      <w:pPr>
        <w:pStyle w:val="56"/>
        <w:numPr>
          <w:ilvl w:val="1"/>
          <w:numId w:val="6"/>
        </w:numPr>
        <w:spacing w:before="158" w:after="158"/>
        <w:ind w:left="357" w:hanging="357"/>
      </w:pPr>
      <w:r>
        <w:rPr>
          <w:rFonts w:hint="eastAsia"/>
        </w:rPr>
        <w:t xml:space="preserve"> 病虫害防治</w:t>
      </w:r>
    </w:p>
    <w:p>
      <w:pPr>
        <w:spacing w:line="360" w:lineRule="auto"/>
        <w:ind w:firstLine="420" w:firstLineChars="200"/>
        <w:rPr>
          <w:szCs w:val="21"/>
        </w:rPr>
      </w:pPr>
      <w:r>
        <w:rPr>
          <w:rFonts w:ascii="Times New Roman" w:hAnsi="Times New Roman" w:cs="Times New Roman"/>
          <w:szCs w:val="21"/>
        </w:rPr>
        <w:t>及时做好病虫害预测预报，采取生物、化学和物理等防治措施，具体参</w:t>
      </w:r>
      <w:r>
        <w:rPr>
          <w:rFonts w:ascii="Times New Roman" w:hAnsi="Times New Roman" w:cs="Times New Roman"/>
        </w:rPr>
        <w:t>见</w:t>
      </w:r>
      <w:r>
        <w:rPr>
          <w:rFonts w:ascii="Times New Roman" w:hAnsi="Times New Roman" w:cs="Times New Roman"/>
          <w:szCs w:val="21"/>
        </w:rPr>
        <w:t>附录D，农药使用应按照GB/T8321执行。</w:t>
      </w:r>
    </w:p>
    <w:p>
      <w:pPr>
        <w:pStyle w:val="2"/>
        <w:spacing w:before="317" w:beforeLines="100" w:after="317" w:afterLines="100"/>
        <w:rPr>
          <w:sz w:val="21"/>
          <w:szCs w:val="21"/>
        </w:rPr>
      </w:pPr>
      <w:r>
        <w:rPr>
          <w:rFonts w:hint="eastAsia"/>
          <w:sz w:val="21"/>
          <w:szCs w:val="21"/>
        </w:rPr>
        <w:t>8</w:t>
      </w:r>
      <w:r>
        <w:rPr>
          <w:sz w:val="21"/>
          <w:szCs w:val="21"/>
        </w:rPr>
        <w:t xml:space="preserve"> 采收和贮藏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按照不同树种果实或种子适宜的成熟度确定采收期和收获方法，可参</w:t>
      </w:r>
      <w:r>
        <w:rPr>
          <w:rFonts w:ascii="Times New Roman" w:hAnsi="Times New Roman" w:cs="Times New Roman"/>
        </w:rPr>
        <w:t>见</w:t>
      </w:r>
      <w:r>
        <w:rPr>
          <w:rFonts w:ascii="Times New Roman" w:hAnsi="Times New Roman" w:cs="Times New Roman"/>
          <w:szCs w:val="21"/>
        </w:rPr>
        <w:t>附录C。种实调制方法按照GB/T 16619要求执行。种实按规格、质量分级包装。种子库应避荫、通风，定期检查种温变化，避免果实或种子内油脂酸败和裂变，具体贮藏条件按照GB10016执行。</w:t>
      </w:r>
    </w:p>
    <w:p>
      <w:pPr>
        <w:pStyle w:val="2"/>
        <w:spacing w:before="317" w:beforeLines="100" w:after="317" w:afterLines="100"/>
        <w:rPr>
          <w:sz w:val="21"/>
          <w:szCs w:val="21"/>
        </w:rPr>
      </w:pPr>
      <w:r>
        <w:rPr>
          <w:rFonts w:hint="eastAsia"/>
          <w:sz w:val="21"/>
          <w:szCs w:val="21"/>
        </w:rPr>
        <w:t>9</w:t>
      </w:r>
      <w:r>
        <w:rPr>
          <w:sz w:val="21"/>
          <w:szCs w:val="21"/>
        </w:rPr>
        <w:t xml:space="preserve"> 技术档案</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按照LY/T 1557、LY/T 2280执行。</w:t>
      </w:r>
    </w:p>
    <w:p>
      <w:pPr>
        <w:spacing w:line="360" w:lineRule="auto"/>
        <w:jc w:val="center"/>
        <w:outlineLvl w:val="0"/>
        <w:sectPr>
          <w:headerReference r:id="rId8" w:type="default"/>
          <w:footerReference r:id="rId10" w:type="default"/>
          <w:headerReference r:id="rId9" w:type="even"/>
          <w:footerReference r:id="rId11" w:type="even"/>
          <w:type w:val="continuous"/>
          <w:pgSz w:w="11906" w:h="16838"/>
          <w:pgMar w:top="1911" w:right="1134" w:bottom="1134" w:left="1417" w:header="1417" w:footer="1134" w:gutter="0"/>
          <w:pgNumType w:start="1"/>
          <w:cols w:space="0" w:num="1"/>
          <w:docGrid w:type="lines" w:linePitch="317" w:charSpace="0"/>
        </w:sectPr>
      </w:pPr>
      <w:r>
        <w:br w:type="page"/>
      </w:r>
    </w:p>
    <w:p>
      <w:pPr>
        <w:spacing w:line="360" w:lineRule="auto"/>
        <w:jc w:val="center"/>
        <w:outlineLvl w:val="0"/>
        <w:rPr>
          <w:rFonts w:ascii="黑体" w:hAnsi="黑体" w:eastAsia="黑体"/>
          <w:bCs/>
          <w:szCs w:val="21"/>
        </w:rPr>
      </w:pPr>
      <w:r>
        <w:rPr>
          <w:rFonts w:ascii="黑体" w:hAnsi="黑体" w:eastAsia="黑体"/>
          <w:bCs/>
          <w:szCs w:val="21"/>
        </w:rPr>
        <w:t>附</w:t>
      </w:r>
      <w:r>
        <w:rPr>
          <w:rFonts w:hint="eastAsia" w:ascii="黑体" w:hAnsi="黑体" w:eastAsia="黑体"/>
          <w:bCs/>
          <w:szCs w:val="21"/>
        </w:rPr>
        <w:t xml:space="preserve"> </w:t>
      </w:r>
      <w:r>
        <w:rPr>
          <w:rFonts w:ascii="黑体" w:hAnsi="黑体" w:eastAsia="黑体"/>
          <w:bCs/>
          <w:szCs w:val="21"/>
        </w:rPr>
        <w:t>录</w:t>
      </w:r>
      <w:r>
        <w:rPr>
          <w:rFonts w:eastAsia="黑体"/>
          <w:bCs/>
          <w:szCs w:val="21"/>
        </w:rPr>
        <w:t xml:space="preserve"> A</w:t>
      </w:r>
    </w:p>
    <w:p>
      <w:pPr>
        <w:spacing w:line="360" w:lineRule="auto"/>
        <w:jc w:val="center"/>
        <w:rPr>
          <w:rFonts w:ascii="黑体" w:hAnsi="黑体" w:eastAsia="黑体"/>
          <w:bCs/>
          <w:szCs w:val="21"/>
        </w:rPr>
      </w:pPr>
      <w:r>
        <w:rPr>
          <w:rFonts w:ascii="黑体" w:hAnsi="黑体" w:eastAsia="黑体"/>
          <w:bCs/>
          <w:szCs w:val="21"/>
        </w:rPr>
        <w:t>（资料性）</w:t>
      </w:r>
    </w:p>
    <w:p>
      <w:pPr>
        <w:spacing w:line="360" w:lineRule="auto"/>
        <w:jc w:val="center"/>
        <w:rPr>
          <w:rFonts w:ascii="黑体" w:hAnsi="黑体" w:eastAsia="黑体"/>
          <w:bCs/>
          <w:szCs w:val="21"/>
        </w:rPr>
      </w:pPr>
      <w:r>
        <w:rPr>
          <w:rFonts w:ascii="黑体" w:hAnsi="黑体" w:eastAsia="黑体"/>
          <w:bCs/>
          <w:szCs w:val="21"/>
        </w:rPr>
        <w:t>主要</w:t>
      </w:r>
      <w:r>
        <w:rPr>
          <w:rFonts w:hint="eastAsia" w:ascii="黑体" w:hAnsi="黑体" w:eastAsia="黑体"/>
          <w:bCs/>
          <w:szCs w:val="21"/>
        </w:rPr>
        <w:t>果用型</w:t>
      </w:r>
      <w:r>
        <w:rPr>
          <w:rFonts w:ascii="黑体" w:hAnsi="黑体" w:eastAsia="黑体"/>
          <w:bCs/>
          <w:szCs w:val="21"/>
        </w:rPr>
        <w:t>油料能源林树种适生条件与</w:t>
      </w:r>
      <w:r>
        <w:rPr>
          <w:rFonts w:hint="eastAsia" w:ascii="黑体" w:hAnsi="黑体" w:eastAsia="黑体"/>
          <w:bCs/>
          <w:szCs w:val="21"/>
        </w:rPr>
        <w:t>主要</w:t>
      </w:r>
      <w:r>
        <w:rPr>
          <w:rFonts w:ascii="黑体" w:hAnsi="黑体" w:eastAsia="黑体"/>
          <w:bCs/>
          <w:szCs w:val="21"/>
        </w:rPr>
        <w:t>分布区域</w:t>
      </w:r>
    </w:p>
    <w:p>
      <w:pPr>
        <w:spacing w:line="360" w:lineRule="auto"/>
        <w:ind w:firstLine="420" w:firstLineChars="200"/>
        <w:jc w:val="left"/>
        <w:rPr>
          <w:rFonts w:ascii="黑体" w:hAnsi="黑体" w:eastAsia="黑体"/>
          <w:bCs/>
          <w:szCs w:val="21"/>
        </w:rPr>
      </w:pPr>
      <w:r>
        <w:rPr>
          <w:rFonts w:hint="eastAsia" w:ascii="宋体" w:hAnsi="宋体"/>
          <w:bCs/>
          <w:szCs w:val="21"/>
        </w:rPr>
        <w:t>表</w:t>
      </w:r>
      <w:r>
        <w:rPr>
          <w:bCs/>
          <w:szCs w:val="21"/>
        </w:rPr>
        <w:t>A.1</w:t>
      </w:r>
      <w:r>
        <w:rPr>
          <w:rFonts w:hint="eastAsia"/>
          <w:bCs/>
          <w:szCs w:val="21"/>
        </w:rPr>
        <w:t>给出</w:t>
      </w:r>
      <w:r>
        <w:rPr>
          <w:rFonts w:hint="eastAsia" w:ascii="宋体" w:hAnsi="宋体"/>
          <w:bCs/>
          <w:szCs w:val="21"/>
        </w:rPr>
        <w:t>了主要果用型油料能源林树种适生条件与主要分布区域。</w:t>
      </w:r>
    </w:p>
    <w:p>
      <w:pPr>
        <w:spacing w:line="360" w:lineRule="auto"/>
        <w:jc w:val="center"/>
        <w:rPr>
          <w:rFonts w:ascii="黑体" w:hAnsi="黑体" w:eastAsia="黑体"/>
          <w:bCs/>
          <w:szCs w:val="21"/>
        </w:rPr>
      </w:pPr>
      <w:r>
        <w:rPr>
          <w:rFonts w:hint="eastAsia" w:asciiTheme="minorEastAsia" w:hAnsiTheme="minorEastAsia" w:cstheme="minorEastAsia"/>
          <w:bCs/>
          <w:szCs w:val="21"/>
        </w:rPr>
        <w:t>表</w:t>
      </w:r>
      <w:r>
        <w:rPr>
          <w:rFonts w:asciiTheme="minorEastAsia" w:hAnsiTheme="minorEastAsia" w:cstheme="minorEastAsia"/>
          <w:bCs/>
          <w:szCs w:val="21"/>
        </w:rPr>
        <w:t>A</w:t>
      </w:r>
      <w:r>
        <w:rPr>
          <w:rFonts w:hint="eastAsia" w:asciiTheme="minorEastAsia" w:hAnsiTheme="minorEastAsia" w:cstheme="minorEastAsia"/>
          <w:bCs/>
          <w:szCs w:val="21"/>
        </w:rPr>
        <w:t>.1 主要果用型油料能源林树种适生条件与主要分布区域</w:t>
      </w:r>
    </w:p>
    <w:tbl>
      <w:tblPr>
        <w:tblStyle w:val="29"/>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177"/>
        <w:gridCol w:w="3919"/>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1172" w:type="pct"/>
          </w:tcPr>
          <w:p>
            <w:pPr>
              <w:widowControl/>
              <w:jc w:val="center"/>
              <w:rPr>
                <w:rFonts w:ascii="Times New Roman" w:hAnsi="Times New Roman" w:cs="Times New Roman"/>
                <w:bCs/>
                <w:kern w:val="0"/>
                <w:sz w:val="18"/>
                <w:szCs w:val="18"/>
              </w:rPr>
            </w:pPr>
            <w:r>
              <w:rPr>
                <w:rFonts w:hint="eastAsia" w:ascii="Times New Roman" w:hAnsi="Times New Roman" w:cs="Times New Roman"/>
                <w:bCs/>
                <w:kern w:val="0"/>
                <w:sz w:val="18"/>
                <w:szCs w:val="18"/>
              </w:rPr>
              <w:t>主要生物特性</w:t>
            </w:r>
          </w:p>
        </w:tc>
        <w:tc>
          <w:tcPr>
            <w:tcW w:w="2110" w:type="pct"/>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适生条件</w:t>
            </w:r>
          </w:p>
        </w:tc>
        <w:tc>
          <w:tcPr>
            <w:tcW w:w="1251" w:type="pct"/>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主要分布区域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麻疯树</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大戟科麻疯树属，灌木或小乔木。雌雄同株，根系粗壮发达。花期9～10月，果期</w:t>
            </w:r>
            <w:r>
              <w:rPr>
                <w:rFonts w:ascii="Times New Roman" w:hAnsi="Times New Roman" w:cs="Times New Roman"/>
                <w:bCs/>
                <w:kern w:val="0"/>
                <w:sz w:val="18"/>
                <w:szCs w:val="18"/>
              </w:rPr>
              <w:t>10</w:t>
            </w:r>
            <w:r>
              <w:rPr>
                <w:rFonts w:hint="eastAsia" w:ascii="Times New Roman" w:hAnsi="Times New Roman" w:cs="Times New Roman"/>
                <w:bCs/>
                <w:kern w:val="0"/>
                <w:sz w:val="18"/>
                <w:szCs w:val="18"/>
              </w:rPr>
              <w:t>～1</w:t>
            </w:r>
            <w:r>
              <w:rPr>
                <w:rFonts w:ascii="Times New Roman" w:hAnsi="Times New Roman" w:cs="Times New Roman"/>
                <w:bCs/>
                <w:kern w:val="0"/>
                <w:sz w:val="18"/>
                <w:szCs w:val="18"/>
              </w:rPr>
              <w:t>2</w:t>
            </w:r>
            <w:r>
              <w:rPr>
                <w:rFonts w:hint="eastAsia" w:ascii="Times New Roman" w:hAnsi="Times New Roman" w:cs="Times New Roman"/>
                <w:bCs/>
                <w:kern w:val="0"/>
                <w:sz w:val="18"/>
                <w:szCs w:val="18"/>
              </w:rPr>
              <w:t>月。</w:t>
            </w:r>
          </w:p>
        </w:tc>
        <w:tc>
          <w:tcPr>
            <w:tcW w:w="2110"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海拔1600 m以下，年均温16 ℃以上，年均降雨量700 mm以上，全年无霜，年日照时数2200 h以上。对土壤条件要求不严，在通气性能和排水良好的土壤上生长更好。</w:t>
            </w:r>
          </w:p>
        </w:tc>
        <w:tc>
          <w:tcPr>
            <w:tcW w:w="1251"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云南、广东、广西、四川、贵州、台湾、福建和海南等省区。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文冠果</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无患子科文冠果属，灌木或乔木。雌雄同株，根系粗壮发达。花期4～</w:t>
            </w:r>
            <w:r>
              <w:rPr>
                <w:rFonts w:ascii="Times New Roman" w:hAnsi="Times New Roman" w:cs="Times New Roman"/>
                <w:bCs/>
                <w:kern w:val="0"/>
                <w:sz w:val="18"/>
                <w:szCs w:val="18"/>
              </w:rPr>
              <w:t>5</w:t>
            </w:r>
            <w:r>
              <w:rPr>
                <w:rFonts w:hint="eastAsia" w:ascii="Times New Roman" w:hAnsi="Times New Roman" w:cs="Times New Roman"/>
                <w:bCs/>
                <w:kern w:val="0"/>
                <w:sz w:val="18"/>
                <w:szCs w:val="18"/>
              </w:rPr>
              <w:t>月，果期7～</w:t>
            </w:r>
            <w:r>
              <w:rPr>
                <w:rFonts w:ascii="Times New Roman" w:hAnsi="Times New Roman" w:cs="Times New Roman"/>
                <w:bCs/>
                <w:kern w:val="0"/>
                <w:sz w:val="18"/>
                <w:szCs w:val="18"/>
              </w:rPr>
              <w:t>8</w:t>
            </w:r>
            <w:r>
              <w:rPr>
                <w:rFonts w:hint="eastAsia" w:ascii="Times New Roman" w:hAnsi="Times New Roman" w:cs="Times New Roman"/>
                <w:bCs/>
                <w:kern w:val="0"/>
                <w:sz w:val="18"/>
                <w:szCs w:val="18"/>
              </w:rPr>
              <w:t>月。</w:t>
            </w:r>
          </w:p>
        </w:tc>
        <w:tc>
          <w:tcPr>
            <w:tcW w:w="2110"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海拔400 m ～1500 m，年均温3.3 ℃～15.6 ℃，年均降雨量43 mm～969 mm，无霜期120 d～233 d，年日照时数1616 h～3124 h。以深厚、肥沃、湿润而通气良好的土壤生长最好。</w:t>
            </w:r>
          </w:p>
        </w:tc>
        <w:tc>
          <w:tcPr>
            <w:tcW w:w="1251"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中国北部和东北部，西至宁夏、甘肃，东北至辽宁，北至内蒙古，南至河南。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黄连木</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漆树科黄连木属，落叶乔木。雌雄异株或同株植物。根系发达。花期</w:t>
            </w:r>
            <w:r>
              <w:rPr>
                <w:rFonts w:ascii="Times New Roman" w:hAnsi="Times New Roman" w:cs="Times New Roman"/>
                <w:bCs/>
                <w:kern w:val="0"/>
                <w:sz w:val="18"/>
                <w:szCs w:val="18"/>
              </w:rPr>
              <w:t>3</w:t>
            </w:r>
            <w:r>
              <w:rPr>
                <w:rFonts w:hint="eastAsia" w:ascii="Times New Roman" w:hAnsi="Times New Roman" w:cs="Times New Roman"/>
                <w:bCs/>
                <w:kern w:val="0"/>
                <w:sz w:val="18"/>
                <w:szCs w:val="18"/>
              </w:rPr>
              <w:t>～4月，果期8～11月。</w:t>
            </w:r>
          </w:p>
        </w:tc>
        <w:tc>
          <w:tcPr>
            <w:tcW w:w="2110"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海拔2000 m以下，年均温11.5 ℃～21.0 ℃，年均降雨量400 mm ～2371 mm，无霜期160 d以上，年日照时数1550 h～2697 h。微酸性、中性和微碱性的沙质、粘质土均能适应，喜肥沃、湿润而排水良好的石灰岩山地。</w:t>
            </w:r>
          </w:p>
        </w:tc>
        <w:tc>
          <w:tcPr>
            <w:tcW w:w="1251"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河北、河南、山西、陕西等，华北、西北地区以及长江以南各省区。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光皮树</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山茱萸科梾木属，落叶乔木。雌雄同株。花期5月；果期10～11月。</w:t>
            </w:r>
          </w:p>
        </w:tc>
        <w:tc>
          <w:tcPr>
            <w:tcW w:w="2110"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海拔130 m～1130 m，年均温13 ℃～21 ℃，年均降雨量800 mm～2000 mm，无霜期260 d以上，年日照时数1478 h～1858 h。喜深厚、肥沃湿润、质地疏松土壤，pH 值5.5～7.5 的土壤。</w:t>
            </w:r>
          </w:p>
        </w:tc>
        <w:tc>
          <w:tcPr>
            <w:tcW w:w="1251"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陕西、甘肃、浙江、江西、福建、河南、湖北、湖南、广东、广西、四川、贵州等省区。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无患子</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无患子科无患子属，落叶乔木。雌雄同株或异株植物。花期春季，果期夏秋。</w:t>
            </w:r>
          </w:p>
        </w:tc>
        <w:tc>
          <w:tcPr>
            <w:tcW w:w="2110" w:type="pct"/>
            <w:shd w:val="clear" w:color="auto" w:fill="auto"/>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海拔1100 m以内，年均温15 ℃～22 ℃，年均降雨量1000 mm～1600 mm，无霜期230 d以上，年日照时数1627 h～2446 h。对土壤要求不严，以土层深厚、肥沃而排水良好之地生长最好。</w:t>
            </w:r>
          </w:p>
        </w:tc>
        <w:tc>
          <w:tcPr>
            <w:tcW w:w="1251" w:type="pct"/>
            <w:shd w:val="clear" w:color="auto" w:fill="auto"/>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中国东部、南部至西南部。河南、重庆、江苏、湖北、湖南、福建、江西、贵州、广东、安徽、浙江、四川、广西等。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67" w:type="pct"/>
            <w:shd w:val="clear" w:color="auto" w:fill="auto"/>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p>
        </w:tc>
        <w:tc>
          <w:tcPr>
            <w:tcW w:w="1172" w:type="pct"/>
          </w:tcPr>
          <w:p>
            <w:pPr>
              <w:widowControl/>
              <w:rPr>
                <w:rFonts w:ascii="Times New Roman" w:hAnsi="Times New Roman" w:cs="Times New Roman"/>
                <w:bCs/>
                <w:kern w:val="0"/>
                <w:sz w:val="18"/>
                <w:szCs w:val="18"/>
              </w:rPr>
            </w:pPr>
            <w:r>
              <w:rPr>
                <w:rFonts w:hint="eastAsia" w:ascii="Times New Roman" w:hAnsi="Times New Roman" w:cs="Times New Roman"/>
                <w:bCs/>
                <w:kern w:val="0"/>
                <w:sz w:val="18"/>
                <w:szCs w:val="18"/>
              </w:rPr>
              <w:t>棕榈科油棕属，乔木。雌雄同株异序。花期6月，果期9月。</w:t>
            </w:r>
          </w:p>
        </w:tc>
        <w:tc>
          <w:tcPr>
            <w:tcW w:w="2110"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海拔1500 m以下，年均温24 ℃～27 ℃，年均降雨量2000 mm～3000 mm，每天日照5 h以上，喜深厚、肥沃、湿润、pH值5～5.5的土壤。</w:t>
            </w:r>
          </w:p>
        </w:tc>
        <w:tc>
          <w:tcPr>
            <w:tcW w:w="1251" w:type="pct"/>
          </w:tcPr>
          <w:p>
            <w:pPr>
              <w:widowControl/>
              <w:rPr>
                <w:rFonts w:ascii="Times New Roman" w:hAnsi="Times New Roman" w:cs="Times New Roman"/>
                <w:bCs/>
                <w:kern w:val="0"/>
                <w:sz w:val="18"/>
                <w:szCs w:val="18"/>
              </w:rPr>
            </w:pPr>
            <w:r>
              <w:rPr>
                <w:rFonts w:ascii="Times New Roman" w:hAnsi="Times New Roman" w:cs="Times New Roman"/>
                <w:bCs/>
                <w:kern w:val="0"/>
                <w:sz w:val="18"/>
                <w:szCs w:val="18"/>
              </w:rPr>
              <w:t>台湾、海南、云南、广东、广西等。</w:t>
            </w:r>
          </w:p>
        </w:tc>
      </w:tr>
    </w:tbl>
    <w:p>
      <w:pPr>
        <w:spacing w:line="360" w:lineRule="auto"/>
        <w:jc w:val="center"/>
        <w:outlineLvl w:val="0"/>
        <w:rPr>
          <w:rFonts w:eastAsia="黑体"/>
          <w:bCs/>
        </w:rPr>
        <w:sectPr>
          <w:pgSz w:w="11906" w:h="16838"/>
          <w:pgMar w:top="1911" w:right="1134" w:bottom="1134" w:left="1417" w:header="1417" w:footer="1134" w:gutter="0"/>
          <w:cols w:space="0" w:num="1"/>
          <w:docGrid w:type="lines" w:linePitch="317" w:charSpace="0"/>
        </w:sectPr>
      </w:pPr>
      <w:r>
        <w:rPr>
          <w:rFonts w:eastAsia="黑体"/>
          <w:bCs/>
        </w:rPr>
        <w:br w:type="page"/>
      </w:r>
    </w:p>
    <w:p>
      <w:pPr>
        <w:spacing w:line="360" w:lineRule="auto"/>
        <w:jc w:val="center"/>
        <w:outlineLvl w:val="0"/>
        <w:rPr>
          <w:rFonts w:ascii="黑体" w:hAnsi="黑体" w:eastAsia="黑体"/>
          <w:bCs/>
          <w:szCs w:val="21"/>
        </w:rPr>
      </w:pPr>
      <w:r>
        <w:rPr>
          <w:rFonts w:ascii="黑体" w:hAnsi="黑体" w:eastAsia="黑体"/>
          <w:bCs/>
          <w:szCs w:val="21"/>
        </w:rPr>
        <w:t>附</w:t>
      </w:r>
      <w:r>
        <w:rPr>
          <w:rFonts w:hint="eastAsia" w:ascii="黑体" w:hAnsi="黑体" w:eastAsia="黑体"/>
          <w:bCs/>
          <w:szCs w:val="21"/>
        </w:rPr>
        <w:t xml:space="preserve"> </w:t>
      </w:r>
      <w:r>
        <w:rPr>
          <w:rFonts w:ascii="黑体" w:hAnsi="黑体" w:eastAsia="黑体"/>
          <w:bCs/>
          <w:szCs w:val="21"/>
        </w:rPr>
        <w:t>录</w:t>
      </w:r>
      <w:r>
        <w:rPr>
          <w:rFonts w:eastAsia="黑体"/>
          <w:bCs/>
          <w:szCs w:val="21"/>
        </w:rPr>
        <w:t xml:space="preserve"> B</w:t>
      </w:r>
    </w:p>
    <w:p>
      <w:pPr>
        <w:spacing w:line="360" w:lineRule="auto"/>
        <w:jc w:val="center"/>
        <w:rPr>
          <w:rFonts w:ascii="黑体" w:hAnsi="黑体" w:eastAsia="黑体"/>
          <w:bCs/>
          <w:szCs w:val="21"/>
        </w:rPr>
      </w:pPr>
      <w:r>
        <w:rPr>
          <w:rFonts w:ascii="黑体" w:hAnsi="黑体" w:eastAsia="黑体"/>
          <w:bCs/>
          <w:szCs w:val="21"/>
        </w:rPr>
        <w:t>（资料性）</w:t>
      </w:r>
    </w:p>
    <w:p>
      <w:pPr>
        <w:spacing w:line="360" w:lineRule="auto"/>
        <w:jc w:val="center"/>
        <w:rPr>
          <w:rFonts w:ascii="黑体" w:hAnsi="黑体" w:eastAsia="黑体"/>
          <w:bCs/>
          <w:szCs w:val="21"/>
        </w:rPr>
      </w:pPr>
      <w:r>
        <w:rPr>
          <w:rFonts w:ascii="黑体" w:hAnsi="黑体" w:eastAsia="黑体"/>
          <w:bCs/>
          <w:szCs w:val="21"/>
        </w:rPr>
        <w:t>主要</w:t>
      </w:r>
      <w:r>
        <w:rPr>
          <w:rFonts w:hint="eastAsia" w:ascii="黑体" w:hAnsi="黑体" w:eastAsia="黑体"/>
          <w:bCs/>
          <w:szCs w:val="21"/>
        </w:rPr>
        <w:t>果用型</w:t>
      </w:r>
      <w:r>
        <w:rPr>
          <w:rFonts w:ascii="黑体" w:hAnsi="黑体" w:eastAsia="黑体"/>
          <w:bCs/>
          <w:szCs w:val="21"/>
        </w:rPr>
        <w:t>油料能源林树种苗木培育</w:t>
      </w:r>
      <w:r>
        <w:rPr>
          <w:rFonts w:hint="eastAsia" w:ascii="黑体" w:hAnsi="黑体" w:eastAsia="黑体"/>
          <w:bCs/>
          <w:szCs w:val="21"/>
        </w:rPr>
        <w:t>技术</w:t>
      </w:r>
    </w:p>
    <w:p>
      <w:pPr>
        <w:spacing w:line="360" w:lineRule="auto"/>
        <w:ind w:firstLine="420" w:firstLineChars="200"/>
        <w:jc w:val="left"/>
        <w:rPr>
          <w:rFonts w:ascii="宋体" w:hAnsi="宋体"/>
          <w:bCs/>
          <w:szCs w:val="21"/>
        </w:rPr>
      </w:pPr>
      <w:r>
        <w:rPr>
          <w:rFonts w:hint="eastAsia" w:ascii="宋体" w:hAnsi="宋体"/>
          <w:bCs/>
          <w:szCs w:val="21"/>
        </w:rPr>
        <w:t>表</w:t>
      </w:r>
      <w:r>
        <w:rPr>
          <w:bCs/>
          <w:szCs w:val="21"/>
        </w:rPr>
        <w:t>B.1给出</w:t>
      </w:r>
      <w:r>
        <w:rPr>
          <w:rFonts w:hint="eastAsia" w:ascii="宋体" w:hAnsi="宋体"/>
          <w:bCs/>
          <w:szCs w:val="21"/>
        </w:rPr>
        <w:t>了主要果用型油料能源林树种苗木培育技术。</w:t>
      </w:r>
    </w:p>
    <w:p>
      <w:pPr>
        <w:spacing w:line="360" w:lineRule="auto"/>
        <w:jc w:val="center"/>
        <w:rPr>
          <w:rFonts w:ascii="黑体" w:hAnsi="黑体" w:eastAsia="黑体"/>
          <w:bCs/>
          <w:szCs w:val="21"/>
        </w:rPr>
      </w:pPr>
      <w:r>
        <w:rPr>
          <w:rFonts w:hint="eastAsia" w:asciiTheme="minorEastAsia" w:hAnsiTheme="minorEastAsia" w:cstheme="minorEastAsia"/>
          <w:bCs/>
          <w:szCs w:val="21"/>
        </w:rPr>
        <w:t>表</w:t>
      </w:r>
      <w:r>
        <w:rPr>
          <w:rFonts w:asciiTheme="minorEastAsia" w:hAnsiTheme="minorEastAsia" w:cstheme="minorEastAsia"/>
          <w:bCs/>
          <w:szCs w:val="21"/>
        </w:rPr>
        <w:t>B</w:t>
      </w:r>
      <w:r>
        <w:rPr>
          <w:rFonts w:hint="eastAsia" w:asciiTheme="minorEastAsia" w:hAnsiTheme="minorEastAsia" w:cstheme="minorEastAsia"/>
          <w:bCs/>
          <w:szCs w:val="21"/>
        </w:rPr>
        <w:t>.1 主要果用型油料能源林树种苗木培育技术</w:t>
      </w:r>
    </w:p>
    <w:tbl>
      <w:tblPr>
        <w:tblStyle w:val="29"/>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blHeader/>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73" w:type="dxa"/>
            <w:shd w:val="clear" w:color="000000" w:fill="FFFFFF"/>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2"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麻疯树</w:t>
            </w:r>
            <w:r>
              <w:rPr>
                <w:rFonts w:ascii="Times New Roman" w:hAnsi="Times New Roman" w:cs="Times New Roman"/>
                <w:bCs/>
                <w:sz w:val="18"/>
                <w:szCs w:val="18"/>
              </w:rPr>
              <w:t>（</w:t>
            </w:r>
            <w:r>
              <w:rPr>
                <w:rFonts w:ascii="Times New Roman" w:hAnsi="Times New Roman" w:cs="Times New Roman"/>
                <w:bCs/>
                <w:i/>
                <w:sz w:val="18"/>
                <w:szCs w:val="18"/>
              </w:rPr>
              <w:t>Jatropha curcas</w:t>
            </w:r>
            <w:r>
              <w:rPr>
                <w:rFonts w:ascii="Times New Roman" w:hAnsi="Times New Roman" w:cs="Times New Roman"/>
                <w:bCs/>
                <w:sz w:val="18"/>
                <w:szCs w:val="18"/>
              </w:rPr>
              <w:t>）</w:t>
            </w:r>
          </w:p>
        </w:tc>
        <w:tc>
          <w:tcPr>
            <w:tcW w:w="7873" w:type="dxa"/>
            <w:shd w:val="clear" w:color="000000" w:fill="FFFFFF"/>
          </w:tcPr>
          <w:p>
            <w:pPr>
              <w:widowControl/>
              <w:ind w:left="326" w:hanging="325" w:hangingChars="181"/>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pPr>
              <w:widowControl/>
              <w:ind w:left="326" w:hanging="325" w:hangingChars="181"/>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扦插育苗：（1）一般在 3 月～4 月麻疯树枝条萌动前进行扦插，宜在晴天上午 10 时以前、下午 16 时以后进行。（2）在良种采穗圃选取基径 2 cm 以上、芽饱满、半木质化或完全木质化穗条备用。（3）将穗条截成长 20 cm，基径 ≥2cm 的插穗，剪去叶片。在浓度为1000 mg/kg的萘乙酸溶液浸泡 20 s，或浓度为400 mg /kg的 ABT生根粉溶液中浸泡 20 s，石蜡封顶。（4）畦面低于畦埂 10 cm~20 cm，宽1.2 m～1.4 m，畦长一般10 cm～20 m。（5）采用直插的方式，扦插深度6 cm～8 cm，株行距10 cm×10 cm 。扦插完立即浇水，将基质喷透。（6）采取喷灌、浇灌、沟灌等方法。圃地有积水立即排除。（7）扦插后至移栽前，每隔一周喷一次 800 倍～1000 倍多菌灵药液。（8）移栽前7 d 通风炼苗，在阴天或傍晚进行移栽。株行距 20 cm×40 cm。移栽后用55 %～75 %遮荫网进行一周的遮荫保护，结合松土除草1～2次。</w:t>
            </w:r>
          </w:p>
          <w:p>
            <w:pPr>
              <w:widowControl/>
              <w:ind w:left="326" w:hanging="325" w:hangingChars="181"/>
              <w:rPr>
                <w:rFonts w:ascii="Times New Roman" w:hAnsi="Times New Roman" w:cs="Times New Roman"/>
                <w:bCs/>
                <w:color w:val="C00000"/>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苗木标准：出圃造林苗木播种苗地径1cm以上，侧根3个以上；扦插苗地径3cm以上，侧根5个以上。</w:t>
            </w:r>
            <w:r>
              <w:rPr>
                <w:rFonts w:ascii="Times New Roman" w:hAnsi="Times New Roman" w:cs="Times New Roman"/>
                <w:bCs/>
                <w:color w:val="C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文冠果（</w:t>
            </w:r>
            <w:r>
              <w:rPr>
                <w:rFonts w:ascii="Times New Roman" w:hAnsi="Times New Roman" w:cs="Times New Roman"/>
                <w:bCs/>
                <w:i/>
                <w:iCs/>
                <w:color w:val="333333"/>
                <w:sz w:val="18"/>
                <w:szCs w:val="18"/>
                <w:shd w:val="clear" w:color="auto" w:fill="FFFFFF"/>
              </w:rPr>
              <w:t>Xanthoceras sorbifolium</w:t>
            </w:r>
            <w:r>
              <w:rPr>
                <w:rFonts w:ascii="Times New Roman" w:hAnsi="Times New Roman" w:cs="Times New Roman"/>
                <w:bCs/>
                <w:kern w:val="0"/>
                <w:sz w:val="18"/>
                <w:szCs w:val="18"/>
              </w:rPr>
              <w:t>）</w:t>
            </w:r>
          </w:p>
        </w:tc>
        <w:tc>
          <w:tcPr>
            <w:tcW w:w="7873" w:type="dxa"/>
            <w:shd w:val="clear" w:color="000000" w:fill="FFFFFF"/>
          </w:tcPr>
          <w:p>
            <w:pPr>
              <w:widowControl/>
              <w:ind w:left="325" w:leftChars="11" w:hanging="302" w:hangingChars="168"/>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pPr>
              <w:widowControl/>
              <w:ind w:left="325" w:leftChars="11" w:hanging="302" w:hangingChars="168"/>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嫁接育苗：（1）砧木苗培育（播种育苗）：秋播的种子不宜催芽处理。春播种子应催芽，可采用低温混沙层积催芽法和水浸催芽法。育苗前1周圃地施肥，腐熟农家肥 30000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～40000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，磷酸二铵 200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～300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。秋播育苗时间宜在 10 月中、下旬 ～11 月上旬。春播育苗时间宜在 2 月下旬 ～4 月上、中旬。播种量为 300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 xml:space="preserve"> ～500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。宜采用覆膜点播。点播株行距10 cm</w:t>
            </w:r>
            <w:r>
              <w:rPr>
                <w:rFonts w:ascii="Times New Roman" w:hAnsi="Times New Roman" w:cs="Times New Roman"/>
                <w:bCs/>
                <w:sz w:val="18"/>
                <w:szCs w:val="18"/>
              </w:rPr>
              <w:t>×</w:t>
            </w:r>
            <w:r>
              <w:rPr>
                <w:rFonts w:ascii="Times New Roman" w:hAnsi="Times New Roman" w:cs="Times New Roman"/>
                <w:bCs/>
                <w:kern w:val="0"/>
                <w:sz w:val="18"/>
                <w:szCs w:val="18"/>
              </w:rPr>
              <w:t>15 cm，深度 3 cm～4 cm。条播行距 15 cm～20 cm，株距 8 cm～10 cm。幼苗前期施肥以叶面追肥为主，幼苗出土35 d 左右，追施 0.2 %～0.3 % 磷酸二氢钾水溶液，每3周施1 次，出苗 50 d 后施 0.2 % 氮肥水溶液，每 6周施 1次。幼苗后期可根据土壤情况和苗木生长确定施肥量和氮、磷、钾混合比例。（2）嫁接方法：劈接、插皮接、嵌芽接、T形芽接、方块芽接。适宜时间枝接2～4月，芽接7月中旬～8月下旬。</w:t>
            </w:r>
          </w:p>
          <w:p>
            <w:pPr>
              <w:widowControl/>
              <w:ind w:left="325" w:leftChars="11" w:hanging="302" w:hangingChars="168"/>
              <w:rPr>
                <w:rFonts w:ascii="Times New Roman" w:hAnsi="Times New Roman" w:cs="Times New Roman"/>
                <w:bCs/>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苗高50cm以上，地径0.5cm以上，侧根3个以上，根系发达完整无伤痕，苗杆通直，梢端完全木质化。嫁接苗砧木地径≥0.8cm，苗高≥90cm，嫁接口上1cm处直径≥0.7cm，抽穗高度≥70cm，主根长≥ 20cm。</w:t>
            </w:r>
            <w:r>
              <w:rPr>
                <w:rFonts w:ascii="Times New Roman" w:hAnsi="Times New Roman" w:cs="Times New Roman"/>
                <w:bCs/>
                <w:kern w:val="0"/>
                <w:sz w:val="18"/>
                <w:szCs w:val="18"/>
              </w:rPr>
              <w:t xml:space="preserve"> </w:t>
            </w:r>
          </w:p>
        </w:tc>
      </w:tr>
    </w:tbl>
    <w:p>
      <w:pPr>
        <w:spacing w:line="360" w:lineRule="auto"/>
        <w:jc w:val="center"/>
        <w:rPr>
          <w:rFonts w:eastAsia="黑体"/>
          <w:b/>
          <w:sz w:val="28"/>
          <w:szCs w:val="28"/>
        </w:rPr>
        <w:sectPr>
          <w:pgSz w:w="11906" w:h="16838"/>
          <w:pgMar w:top="2477" w:right="1134" w:bottom="1134" w:left="1417" w:header="1417" w:footer="1134" w:gutter="0"/>
          <w:cols w:space="0" w:num="1"/>
          <w:docGrid w:type="lines" w:linePitch="317" w:charSpace="0"/>
        </w:sectPr>
      </w:pPr>
      <w:r>
        <w:rPr>
          <w:rFonts w:eastAsia="黑体"/>
          <w:b/>
          <w:sz w:val="28"/>
          <w:szCs w:val="28"/>
        </w:rPr>
        <w:br w:type="page"/>
      </w:r>
    </w:p>
    <w:p>
      <w:pPr>
        <w:spacing w:line="360" w:lineRule="auto"/>
        <w:jc w:val="center"/>
        <w:rPr>
          <w:rFonts w:eastAsia="黑体"/>
          <w:bCs/>
          <w:sz w:val="28"/>
          <w:szCs w:val="28"/>
        </w:rPr>
      </w:pPr>
      <w:r>
        <w:rPr>
          <w:rFonts w:hint="eastAsia" w:asciiTheme="minorEastAsia" w:hAnsiTheme="minorEastAsia" w:cstheme="minorEastAsia"/>
          <w:bCs/>
          <w:szCs w:val="21"/>
        </w:rPr>
        <w:t>表</w:t>
      </w:r>
      <w:r>
        <w:rPr>
          <w:rFonts w:asciiTheme="minorEastAsia" w:hAnsiTheme="minorEastAsia" w:cstheme="minorEastAsia"/>
          <w:bCs/>
          <w:szCs w:val="21"/>
        </w:rPr>
        <w:t>B</w:t>
      </w:r>
      <w:r>
        <w:rPr>
          <w:rFonts w:hint="eastAsia" w:asciiTheme="minorEastAsia" w:hAnsiTheme="minorEastAsia" w:cstheme="minorEastAsia"/>
          <w:bCs/>
          <w:szCs w:val="21"/>
        </w:rPr>
        <w:t xml:space="preserve">.1 </w:t>
      </w:r>
      <w:r>
        <w:rPr>
          <w:rFonts w:hint="eastAsia" w:asciiTheme="minorEastAsia" w:hAnsiTheme="minorEastAsia" w:cstheme="minorEastAsia"/>
          <w:bCs/>
        </w:rPr>
        <w:t>主要油料能源林树种造林苗木培育技术（续）</w:t>
      </w:r>
    </w:p>
    <w:tbl>
      <w:tblPr>
        <w:tblStyle w:val="29"/>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90" w:type="dxa"/>
            <w:shd w:val="clear" w:color="000000" w:fill="FFFFFF"/>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5"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黄连木（</w:t>
            </w:r>
            <w:r>
              <w:rPr>
                <w:rFonts w:ascii="Times New Roman" w:hAnsi="Times New Roman" w:cs="Times New Roman"/>
                <w:bCs/>
                <w:i/>
                <w:iCs/>
                <w:color w:val="333333"/>
                <w:sz w:val="18"/>
                <w:szCs w:val="18"/>
                <w:shd w:val="clear" w:color="auto" w:fill="FFFFFF"/>
              </w:rPr>
              <w:t>Pistacia chinensis</w:t>
            </w:r>
            <w:r>
              <w:rPr>
                <w:rFonts w:ascii="Times New Roman" w:hAnsi="Times New Roman" w:cs="Times New Roman"/>
                <w:bCs/>
                <w:kern w:val="0"/>
                <w:sz w:val="18"/>
                <w:szCs w:val="18"/>
              </w:rPr>
              <w:t>）</w:t>
            </w:r>
          </w:p>
        </w:tc>
        <w:tc>
          <w:tcPr>
            <w:tcW w:w="7890" w:type="dxa"/>
            <w:shd w:val="clear" w:color="000000" w:fill="FFFFFF"/>
          </w:tcPr>
          <w:p>
            <w:pPr>
              <w:widowControl/>
              <w:ind w:left="326" w:hanging="325" w:hangingChars="181"/>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良种选择：宜用果实产量高、种子含油率高、适生性强、无病虫害的良种、品种或无性系。若无上述材料，采用优良母树种子播种育苗。</w:t>
            </w:r>
          </w:p>
          <w:p>
            <w:pPr>
              <w:widowControl/>
              <w:ind w:left="326" w:hanging="325" w:hangingChars="181"/>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嫁接育苗：（1）砧木苗培育</w:t>
            </w:r>
            <w:r>
              <w:rPr>
                <w:rFonts w:ascii="Times New Roman" w:hAnsi="Times New Roman" w:cs="Times New Roman"/>
                <w:bCs/>
                <w:kern w:val="0"/>
                <w:sz w:val="18"/>
                <w:szCs w:val="18"/>
              </w:rPr>
              <w:t>（播种育苗）</w:t>
            </w:r>
            <w:r>
              <w:rPr>
                <w:rFonts w:ascii="Times New Roman" w:hAnsi="Times New Roman" w:cs="Times New Roman"/>
                <w:bCs/>
                <w:sz w:val="18"/>
                <w:szCs w:val="18"/>
              </w:rPr>
              <w:t>：春播种子需催芽。将干藏种子用40℃～50℃草木灰水或用5 %～10 %的石灰水浸泡2 d～3 d，或清水浸泡5 d～7 d，按种沙1：3比例混合在背风向阳处催芽。挖30 cm～50 cm深的坑，种子混沙平铺。秋播在土壤上冻前进行，用48 %毒死蜱乳油按种子总量0.3 %拌种后直播。春播在土壤解冻后适时早播。播种量：150～225 kg/hm</w:t>
            </w:r>
            <w:r>
              <w:rPr>
                <w:rFonts w:ascii="Times New Roman" w:hAnsi="Times New Roman" w:cs="Times New Roman"/>
                <w:bCs/>
                <w:sz w:val="18"/>
                <w:szCs w:val="18"/>
                <w:vertAlign w:val="superscript"/>
              </w:rPr>
              <w:t>2</w:t>
            </w:r>
            <w:r>
              <w:rPr>
                <w:rFonts w:ascii="Times New Roman" w:hAnsi="Times New Roman" w:cs="Times New Roman"/>
                <w:bCs/>
                <w:sz w:val="18"/>
                <w:szCs w:val="18"/>
              </w:rPr>
              <w:t>。苗高达到5 cm～7 cm时，间苗2～3次，最后一次间苗在苗高15 cm时进行，株距7 cm～15 cm，留苗量15万株/hm</w:t>
            </w:r>
            <w:r>
              <w:rPr>
                <w:rFonts w:ascii="Times New Roman" w:hAnsi="Times New Roman" w:cs="Times New Roman"/>
                <w:bCs/>
                <w:sz w:val="18"/>
                <w:szCs w:val="18"/>
                <w:vertAlign w:val="superscript"/>
              </w:rPr>
              <w:t>2</w:t>
            </w:r>
            <w:r>
              <w:rPr>
                <w:rFonts w:ascii="Times New Roman" w:hAnsi="Times New Roman" w:cs="Times New Roman"/>
                <w:bCs/>
                <w:sz w:val="18"/>
                <w:szCs w:val="18"/>
              </w:rPr>
              <w:t>～18万株/hm</w:t>
            </w:r>
            <w:r>
              <w:rPr>
                <w:rFonts w:ascii="Times New Roman" w:hAnsi="Times New Roman" w:cs="Times New Roman"/>
                <w:bCs/>
                <w:sz w:val="18"/>
                <w:szCs w:val="18"/>
                <w:vertAlign w:val="superscript"/>
              </w:rPr>
              <w:t>2</w:t>
            </w:r>
            <w:r>
              <w:rPr>
                <w:rFonts w:ascii="Times New Roman" w:hAnsi="Times New Roman" w:cs="Times New Roman"/>
                <w:bCs/>
                <w:sz w:val="18"/>
                <w:szCs w:val="18"/>
              </w:rPr>
              <w:t>。6月中旬施尿素75 kg/ hm</w:t>
            </w:r>
            <w:r>
              <w:rPr>
                <w:rFonts w:ascii="Times New Roman" w:hAnsi="Times New Roman" w:cs="Times New Roman"/>
                <w:bCs/>
                <w:sz w:val="18"/>
                <w:szCs w:val="18"/>
                <w:vertAlign w:val="superscript"/>
              </w:rPr>
              <w:t>2</w:t>
            </w:r>
            <w:r>
              <w:rPr>
                <w:rFonts w:ascii="Times New Roman" w:hAnsi="Times New Roman" w:cs="Times New Roman"/>
                <w:bCs/>
                <w:sz w:val="18"/>
                <w:szCs w:val="18"/>
              </w:rPr>
              <w:t>～120 kg/ hm</w:t>
            </w:r>
            <w:r>
              <w:rPr>
                <w:rFonts w:ascii="Times New Roman" w:hAnsi="Times New Roman" w:cs="Times New Roman"/>
                <w:bCs/>
                <w:sz w:val="18"/>
                <w:szCs w:val="18"/>
                <w:vertAlign w:val="superscript"/>
              </w:rPr>
              <w:t>2</w:t>
            </w:r>
            <w:r>
              <w:rPr>
                <w:rFonts w:ascii="Times New Roman" w:hAnsi="Times New Roman" w:cs="Times New Roman"/>
                <w:bCs/>
                <w:sz w:val="18"/>
                <w:szCs w:val="18"/>
              </w:rPr>
              <w:t>；7月中旬施氮、磷复合肥150 kg/ hm</w:t>
            </w:r>
            <w:r>
              <w:rPr>
                <w:rFonts w:ascii="Times New Roman" w:hAnsi="Times New Roman" w:cs="Times New Roman"/>
                <w:bCs/>
                <w:sz w:val="18"/>
                <w:szCs w:val="18"/>
                <w:vertAlign w:val="superscript"/>
              </w:rPr>
              <w:t>2</w:t>
            </w:r>
            <w:r>
              <w:rPr>
                <w:rFonts w:ascii="Times New Roman" w:hAnsi="Times New Roman" w:cs="Times New Roman"/>
                <w:bCs/>
                <w:sz w:val="18"/>
                <w:szCs w:val="18"/>
              </w:rPr>
              <w:t>～225 kg/ hm</w:t>
            </w:r>
            <w:r>
              <w:rPr>
                <w:rFonts w:ascii="Times New Roman" w:hAnsi="Times New Roman" w:cs="Times New Roman"/>
                <w:bCs/>
                <w:sz w:val="18"/>
                <w:szCs w:val="18"/>
                <w:vertAlign w:val="superscript"/>
              </w:rPr>
              <w:t>2</w:t>
            </w:r>
            <w:r>
              <w:rPr>
                <w:rFonts w:ascii="Times New Roman" w:hAnsi="Times New Roman" w:cs="Times New Roman"/>
                <w:bCs/>
                <w:sz w:val="18"/>
                <w:szCs w:val="18"/>
              </w:rPr>
              <w:t>；8月上中旬施含钾复合肥150 kg/ hm</w:t>
            </w:r>
            <w:r>
              <w:rPr>
                <w:rFonts w:ascii="Times New Roman" w:hAnsi="Times New Roman" w:cs="Times New Roman"/>
                <w:bCs/>
                <w:sz w:val="18"/>
                <w:szCs w:val="18"/>
                <w:vertAlign w:val="superscript"/>
              </w:rPr>
              <w:t>2</w:t>
            </w:r>
            <w:r>
              <w:rPr>
                <w:rFonts w:ascii="Times New Roman" w:hAnsi="Times New Roman" w:cs="Times New Roman"/>
                <w:bCs/>
                <w:sz w:val="18"/>
                <w:szCs w:val="18"/>
              </w:rPr>
              <w:t>～225 kg/ hm</w:t>
            </w:r>
            <w:r>
              <w:rPr>
                <w:rFonts w:ascii="Times New Roman" w:hAnsi="Times New Roman" w:cs="Times New Roman"/>
                <w:bCs/>
                <w:sz w:val="18"/>
                <w:szCs w:val="18"/>
                <w:vertAlign w:val="superscript"/>
              </w:rPr>
              <w:t>2</w:t>
            </w:r>
            <w:r>
              <w:rPr>
                <w:rFonts w:ascii="Times New Roman" w:hAnsi="Times New Roman" w:cs="Times New Roman"/>
                <w:bCs/>
                <w:sz w:val="18"/>
                <w:szCs w:val="18"/>
              </w:rPr>
              <w:t>。（2）嫁接方法：春季嫁接在砧木树液开始流动至发芽后20 d内进行，用枝接方法。夏季嫁接在6月下旬至8月上旬进行，用方块芽接方法，方块长度1.8 cm以上。7月中旬以前嫁接培育当年成苗；7月底以后嫁接培育芽苗。雌雄株应分开嫁接。</w:t>
            </w:r>
          </w:p>
          <w:p>
            <w:pPr>
              <w:widowControl/>
              <w:ind w:left="326" w:hanging="325" w:hangingChars="181"/>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扦插育苗：（1）嫩枝扦插。4月下旬到6 月下旬从母树上剪取当年生半木质化嫩枝作插穗。（2）插穗长12 cm～15 cm，上部带1～2羽叶，插入水中保湿并遮荫。采条到扦插的时间不超过 10 h。（3）扦插在早晨或傍晚为宜。深度为插入基质3 cm～4 cm ，株行距5 cm</w:t>
            </w:r>
            <w:r>
              <w:rPr>
                <w:rFonts w:ascii="Times New Roman" w:hAnsi="Times New Roman" w:cs="Times New Roman"/>
                <w:bCs/>
                <w:kern w:val="0"/>
                <w:sz w:val="18"/>
                <w:szCs w:val="18"/>
              </w:rPr>
              <w:t>×</w:t>
            </w:r>
            <w:r>
              <w:rPr>
                <w:rFonts w:ascii="Times New Roman" w:hAnsi="Times New Roman" w:cs="Times New Roman"/>
                <w:bCs/>
                <w:sz w:val="18"/>
                <w:szCs w:val="18"/>
              </w:rPr>
              <w:t>5 cm 。</w:t>
            </w:r>
          </w:p>
          <w:p>
            <w:pPr>
              <w:widowControl/>
              <w:ind w:left="326" w:hanging="325" w:hangingChars="181"/>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苗高60cm以上，地径0.5cm以上，主根长度20cm以上，&gt;20cm长侧根数两条以上。嫁接苗抽穗长度≥60cm，地径≥1.0cm，主根长度≥30cm，&gt;20cm长侧根数3条以上。扦插苗苗高≥60cm，地径≥0.6cm，根幅≥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光皮树（</w:t>
            </w:r>
            <w:r>
              <w:rPr>
                <w:rFonts w:ascii="Times New Roman" w:hAnsi="Times New Roman" w:cs="Times New Roman"/>
                <w:bCs/>
                <w:i/>
                <w:iCs/>
                <w:kern w:val="0"/>
                <w:sz w:val="18"/>
                <w:szCs w:val="18"/>
              </w:rPr>
              <w:t>Swida wilsoniana</w:t>
            </w:r>
            <w:r>
              <w:rPr>
                <w:rFonts w:ascii="Times New Roman" w:hAnsi="Times New Roman" w:cs="Times New Roman"/>
                <w:bCs/>
                <w:kern w:val="0"/>
                <w:sz w:val="18"/>
                <w:szCs w:val="18"/>
              </w:rPr>
              <w:t>）</w:t>
            </w:r>
          </w:p>
        </w:tc>
        <w:tc>
          <w:tcPr>
            <w:tcW w:w="7890" w:type="dxa"/>
            <w:shd w:val="clear" w:color="000000" w:fill="FFFFFF"/>
          </w:tcPr>
          <w:p>
            <w:pPr>
              <w:widowControl/>
              <w:ind w:left="326" w:leftChars="1" w:hanging="324" w:hangingChars="180"/>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pPr>
              <w:widowControl/>
              <w:ind w:left="326" w:leftChars="1" w:hanging="324" w:hangingChars="180"/>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嫁接育苗：（1）砧木苗培育（播种育苗）：种子沙藏催芽。结合整地，施枯饼肥50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～100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 xml:space="preserve"> +复合肥20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～30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，或农家肥2000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～3000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作为基肥。2月上旬至3月下旬播种。6月中旬～8月中旬进行1～2次间苗，以株距5 cm～6 cm的间隔定苗。最后保留株数2.5万株/667 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～3万株/667 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。嫁接砧木播种量：150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～225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。（2）嫁接方法及时间：切接、腹接。2月下旬至3月中旬，以及9月上旬至10月中旬。</w:t>
            </w:r>
          </w:p>
          <w:p>
            <w:pPr>
              <w:widowControl/>
              <w:ind w:left="326" w:leftChars="1" w:hanging="324" w:hangingChars="180"/>
              <w:rPr>
                <w:rFonts w:ascii="Times New Roman" w:hAnsi="Times New Roman" w:cs="Times New Roman"/>
                <w:bCs/>
                <w:kern w:val="0"/>
                <w:sz w:val="18"/>
                <w:szCs w:val="18"/>
              </w:rPr>
            </w:pPr>
            <w:r>
              <w:rPr>
                <w:rFonts w:ascii="Times New Roman" w:hAnsi="Times New Roman" w:cs="Times New Roman"/>
                <w:bCs/>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扦插育苗：（1）嫩枝扦插。8月中旬从母树上剪取半木质化的嫩枝作插穗。插穗长约20 cm，带有不少于2 个节。（2）基质为泥炭土、珍珠岩和黄心土按体积比1︰1︰1。（3）扦插在早晨或傍晚为宜。插穗在600～1000 ppm的KIBA溶液中速蘸，株行距为8 cm×25 cm。</w:t>
            </w:r>
          </w:p>
          <w:p>
            <w:pPr>
              <w:widowControl/>
              <w:ind w:left="326" w:leftChars="1" w:hanging="324" w:hangingChars="180"/>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播种苗苗高50cm以上，地径0.5cm以上，主根长度15cm以上，&gt;5cm长侧根数3条以上。嫁接苗抽穗长度≥40cm，地径≥0.4cm，主根长度≥20cm，&gt;5cm长侧根数3条以上。扦插苗苗高≥40cm，地径0.4cm以上，主根长度15cm以上，&gt;5cm长侧根数3条以上。</w:t>
            </w:r>
          </w:p>
        </w:tc>
      </w:tr>
    </w:tbl>
    <w:p>
      <w:pPr>
        <w:spacing w:line="360" w:lineRule="auto"/>
        <w:jc w:val="center"/>
        <w:outlineLvl w:val="0"/>
        <w:rPr>
          <w:rFonts w:eastAsia="黑体"/>
          <w:bCs/>
        </w:rPr>
      </w:pPr>
      <w:r>
        <w:rPr>
          <w:rFonts w:eastAsia="黑体"/>
          <w:b/>
          <w:sz w:val="28"/>
          <w:szCs w:val="28"/>
        </w:rPr>
        <w:br w:type="page"/>
      </w:r>
      <w:r>
        <w:rPr>
          <w:rFonts w:hint="eastAsia" w:asciiTheme="minorEastAsia" w:hAnsiTheme="minorEastAsia" w:cstheme="minorEastAsia"/>
          <w:bCs/>
          <w:szCs w:val="21"/>
        </w:rPr>
        <w:t>表</w:t>
      </w:r>
      <w:r>
        <w:rPr>
          <w:rFonts w:asciiTheme="minorEastAsia" w:hAnsiTheme="minorEastAsia" w:cstheme="minorEastAsia"/>
          <w:bCs/>
          <w:szCs w:val="21"/>
        </w:rPr>
        <w:t>B</w:t>
      </w:r>
      <w:r>
        <w:rPr>
          <w:rFonts w:hint="eastAsia" w:asciiTheme="minorEastAsia" w:hAnsiTheme="minorEastAsia" w:cstheme="minorEastAsia"/>
          <w:bCs/>
          <w:szCs w:val="21"/>
        </w:rPr>
        <w:t xml:space="preserve">.1 </w:t>
      </w:r>
      <w:r>
        <w:rPr>
          <w:rFonts w:hint="eastAsia" w:asciiTheme="minorEastAsia" w:hAnsiTheme="minorEastAsia" w:cstheme="minorEastAsia"/>
          <w:bCs/>
        </w:rPr>
        <w:t>主要油料能源林树种造林苗木培育技术（续）</w:t>
      </w:r>
    </w:p>
    <w:tbl>
      <w:tblPr>
        <w:tblStyle w:val="29"/>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树种</w:t>
            </w:r>
          </w:p>
        </w:tc>
        <w:tc>
          <w:tcPr>
            <w:tcW w:w="7841" w:type="dxa"/>
            <w:shd w:val="clear" w:color="000000" w:fill="FFFFFF"/>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苗木培育技术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无患子（</w:t>
            </w:r>
            <w:r>
              <w:rPr>
                <w:rFonts w:ascii="Times New Roman" w:hAnsi="Times New Roman" w:cs="Times New Roman"/>
                <w:bCs/>
                <w:i/>
                <w:iCs/>
                <w:color w:val="333333"/>
                <w:sz w:val="18"/>
                <w:szCs w:val="18"/>
                <w:shd w:val="clear" w:color="auto" w:fill="FFFFFF"/>
              </w:rPr>
              <w:t>Sapindus mukorossi</w:t>
            </w:r>
            <w:r>
              <w:rPr>
                <w:rFonts w:ascii="Times New Roman" w:hAnsi="Times New Roman" w:cs="Times New Roman"/>
                <w:bCs/>
                <w:kern w:val="0"/>
                <w:sz w:val="18"/>
                <w:szCs w:val="18"/>
              </w:rPr>
              <w:t>）</w:t>
            </w:r>
          </w:p>
        </w:tc>
        <w:tc>
          <w:tcPr>
            <w:tcW w:w="7841" w:type="dxa"/>
            <w:shd w:val="clear" w:color="000000" w:fill="FFFFFF"/>
          </w:tcPr>
          <w:p>
            <w:pPr>
              <w:widowControl/>
              <w:ind w:left="326" w:leftChars="22" w:hanging="280" w:hangingChars="156"/>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w:t>
            </w:r>
            <w:r>
              <w:rPr>
                <w:rFonts w:ascii="Times New Roman" w:hAnsi="Times New Roman" w:cs="Times New Roman"/>
                <w:bCs/>
                <w:kern w:val="0"/>
                <w:sz w:val="18"/>
                <w:szCs w:val="18"/>
              </w:rPr>
              <w:t>宜用</w:t>
            </w:r>
            <w:r>
              <w:rPr>
                <w:rFonts w:ascii="Times New Roman" w:hAnsi="Times New Roman" w:cs="Times New Roman"/>
                <w:bCs/>
                <w:sz w:val="18"/>
                <w:szCs w:val="18"/>
              </w:rPr>
              <w:t>果实产量高、种子含油率高、适生性强、无病虫害的良种、品种或无性系。若无上述材料，采用</w:t>
            </w:r>
            <w:r>
              <w:rPr>
                <w:rFonts w:ascii="Times New Roman" w:hAnsi="Times New Roman" w:cs="Times New Roman"/>
                <w:bCs/>
                <w:kern w:val="0"/>
                <w:sz w:val="18"/>
                <w:szCs w:val="18"/>
              </w:rPr>
              <w:t>优良母树种子播种育苗。</w:t>
            </w:r>
          </w:p>
          <w:p>
            <w:pPr>
              <w:widowControl/>
              <w:ind w:left="326" w:leftChars="22" w:hanging="280" w:hangingChars="156"/>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嫁接育苗：（1）砧木苗培育（播种育苗）：种子消毒、沙藏，待1/3种子露白时即可播种。浅耕时施复合肥750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。秋播在11月上中旬进行。春季3月底～4月，气温20 ℃时即可播种。播种量：525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～600 kg/hm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。出苗率≥70 %或撤除拱棚后10 d～15 d首次间苗，以后视情况间苗1～2次，留苗株距8 cm～10 cm，结合间苗可进行芽苗移栽和补苗。5月底、6月初定苗，圃地留苗量14000株/667m</w:t>
            </w:r>
            <w:r>
              <w:rPr>
                <w:rFonts w:ascii="Times New Roman" w:hAnsi="Times New Roman" w:cs="Times New Roman"/>
                <w:bCs/>
                <w:kern w:val="0"/>
                <w:sz w:val="18"/>
                <w:szCs w:val="18"/>
                <w:vertAlign w:val="superscript"/>
              </w:rPr>
              <w:t xml:space="preserve">2 </w:t>
            </w:r>
            <w:r>
              <w:rPr>
                <w:rFonts w:ascii="Times New Roman" w:hAnsi="Times New Roman" w:cs="Times New Roman"/>
                <w:bCs/>
                <w:kern w:val="0"/>
                <w:sz w:val="18"/>
                <w:szCs w:val="18"/>
              </w:rPr>
              <w:t>～17000株/667m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。幼苗期每隔10 d～15 d喷施0.1 %～0.3 %尿素进行叶面喷肥，苗木速生期，每隔20 d～30 d可结合浇水施3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～5 kg/667m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尿素；8月底之后停止施肥。（2）嫁接方法：切接、腹接、嵌芽接。早春休眠即将结束前嫁接，亦可夏秋嫁接，早春嫁接多采取切接，夏秋多采取腹接和嵌芽接。</w:t>
            </w:r>
          </w:p>
          <w:p>
            <w:pPr>
              <w:widowControl/>
              <w:ind w:left="326" w:leftChars="22" w:hanging="280" w:hangingChars="156"/>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 xml:space="preserve">苗木标准：出圃造林苗木1年生播种苗苗高50cm以上，地径0.5cm以上，主根长度10cm以上，&gt;5cm长I级侧根数4条以上。2年生嫁接苗抽穗长度≥60cm，地径≥0.6cm，主根长度≥40cm，≥5cm长I级侧根数7条以上。嫁接部位愈合好，充分木质化，无病虫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jc w:val="center"/>
        </w:trPr>
        <w:tc>
          <w:tcPr>
            <w:tcW w:w="1488" w:type="dxa"/>
            <w:shd w:val="clear" w:color="000000" w:fill="FFFFFF"/>
            <w:noWrap/>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r>
              <w:rPr>
                <w:rFonts w:ascii="Times New Roman" w:hAnsi="Times New Roman" w:cs="Times New Roman"/>
                <w:bCs/>
                <w:i/>
                <w:iCs/>
                <w:color w:val="333333"/>
                <w:sz w:val="18"/>
                <w:szCs w:val="18"/>
                <w:shd w:val="clear" w:color="auto" w:fill="FFFFFF"/>
              </w:rPr>
              <w:t>Elaeis guineensis</w:t>
            </w:r>
            <w:r>
              <w:rPr>
                <w:rFonts w:ascii="Times New Roman" w:hAnsi="Times New Roman" w:cs="Times New Roman"/>
                <w:bCs/>
                <w:kern w:val="0"/>
                <w:sz w:val="18"/>
                <w:szCs w:val="18"/>
              </w:rPr>
              <w:t>）</w:t>
            </w:r>
          </w:p>
        </w:tc>
        <w:tc>
          <w:tcPr>
            <w:tcW w:w="7841" w:type="dxa"/>
            <w:shd w:val="clear" w:color="000000" w:fill="FFFFFF"/>
            <w:vAlign w:val="center"/>
          </w:tcPr>
          <w:p>
            <w:pPr>
              <w:widowControl/>
              <w:ind w:left="326" w:hanging="325" w:hangingChars="181"/>
              <w:rPr>
                <w:rFonts w:ascii="Times New Roman" w:hAnsi="Times New Roman" w:cs="Times New Roman"/>
                <w:bCs/>
                <w:kern w:val="0"/>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良种选择：可采用无病虫害、长势健壮、树龄8 年以上的杂交亲本母树种子。</w:t>
            </w:r>
          </w:p>
          <w:p>
            <w:pPr>
              <w:widowControl/>
              <w:ind w:left="326" w:hanging="325" w:hangingChars="181"/>
              <w:rPr>
                <w:rFonts w:ascii="Times New Roman" w:hAnsi="Times New Roman" w:cs="Times New Roman"/>
                <w:bCs/>
                <w:kern w:val="0"/>
                <w:sz w:val="18"/>
                <w:szCs w:val="18"/>
              </w:rPr>
            </w:pPr>
            <w:r>
              <w:rPr>
                <w:rFonts w:ascii="Times New Roman" w:hAnsi="Times New Roman" w:cs="Times New Roman"/>
                <w:bCs/>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播种育苗：种子采用干热处理法置39 ℃～40 ℃催芽，选芽长1 cm～2 cm、芽健壮、无褐变种子备用。播前1 d育苗穴盘淋透水，每孔播1粒种子。小苗1片～3 片叶阶段，淋施0.2 %～0.3 %尿素水溶液，7 d～10 d一次，施后洒水。种苗3片叶后，小苗连同基质植入小穴，覆盖基质至原基质表面以上3 cm～5 cm，淋足定根水。大苗培育阶段选直径29 cm（口径）</w:t>
            </w:r>
            <w:r>
              <w:rPr>
                <w:rFonts w:ascii="Times New Roman" w:hAnsi="Times New Roman" w:cs="Times New Roman"/>
                <w:bCs/>
                <w:sz w:val="18"/>
                <w:szCs w:val="18"/>
              </w:rPr>
              <w:t>×</w:t>
            </w:r>
            <w:r>
              <w:rPr>
                <w:rFonts w:ascii="Times New Roman" w:hAnsi="Times New Roman" w:cs="Times New Roman"/>
                <w:bCs/>
                <w:kern w:val="0"/>
                <w:sz w:val="18"/>
                <w:szCs w:val="18"/>
              </w:rPr>
              <w:t>40 cm（高度）的塑料袋作育苗容器。移栽后适当灌水施肥。当苗长到4片～5片叶时，施用0.4%尿素水溶液，每周淋施1次，之后每月施用N︰P</w:t>
            </w:r>
            <w:r>
              <w:rPr>
                <w:rFonts w:ascii="Times New Roman" w:hAnsi="Times New Roman" w:cs="Times New Roman"/>
                <w:bCs/>
                <w:kern w:val="0"/>
                <w:sz w:val="18"/>
                <w:szCs w:val="18"/>
                <w:vertAlign w:val="subscript"/>
              </w:rPr>
              <w:t>2</w:t>
            </w:r>
            <w:r>
              <w:rPr>
                <w:rFonts w:ascii="Times New Roman" w:hAnsi="Times New Roman" w:cs="Times New Roman"/>
                <w:bCs/>
                <w:kern w:val="0"/>
                <w:sz w:val="18"/>
                <w:szCs w:val="18"/>
              </w:rPr>
              <w:t>O</w:t>
            </w:r>
            <w:r>
              <w:rPr>
                <w:rFonts w:ascii="Times New Roman" w:hAnsi="Times New Roman" w:cs="Times New Roman"/>
                <w:bCs/>
                <w:kern w:val="0"/>
                <w:sz w:val="18"/>
                <w:szCs w:val="18"/>
                <w:vertAlign w:val="subscript"/>
              </w:rPr>
              <w:t>5</w:t>
            </w:r>
            <w:r>
              <w:rPr>
                <w:rFonts w:ascii="Times New Roman" w:hAnsi="Times New Roman" w:cs="Times New Roman"/>
                <w:bCs/>
                <w:kern w:val="0"/>
                <w:sz w:val="18"/>
                <w:szCs w:val="18"/>
              </w:rPr>
              <w:t>︰K</w:t>
            </w:r>
            <w:r>
              <w:rPr>
                <w:rFonts w:ascii="Times New Roman" w:hAnsi="Times New Roman" w:cs="Times New Roman"/>
                <w:bCs/>
                <w:kern w:val="0"/>
                <w:sz w:val="18"/>
                <w:szCs w:val="18"/>
                <w:vertAlign w:val="subscript"/>
              </w:rPr>
              <w:t>2</w:t>
            </w:r>
            <w:r>
              <w:rPr>
                <w:rFonts w:ascii="Times New Roman" w:hAnsi="Times New Roman" w:cs="Times New Roman"/>
                <w:bCs/>
                <w:kern w:val="0"/>
                <w:sz w:val="18"/>
                <w:szCs w:val="18"/>
              </w:rPr>
              <w:t>O︰MgO有效成分质量比为12︰12︰17︰2的复合肥1～2次，按1︰200的浓度配水溶液，淋施于容器中。当6～10片叶时，每株施3 g～5 g；11片叶至炼苗前，每株施5 g～7 g。移栽后至6片叶前搭荫棚，15 d后去除遮阳网。出圃前10 d～15 d开始炼苗。</w:t>
            </w:r>
          </w:p>
          <w:p>
            <w:pPr>
              <w:widowControl/>
              <w:ind w:left="326" w:hanging="325" w:hangingChars="181"/>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苗木标准：出圃造林苗木叶片数12片以上，小叶数≥20对，苗高≥100cm，病虫危害率≤3%。</w:t>
            </w:r>
          </w:p>
        </w:tc>
      </w:tr>
    </w:tbl>
    <w:p/>
    <w:p/>
    <w:p/>
    <w:p/>
    <w:p/>
    <w:p>
      <w:pPr>
        <w:spacing w:line="360" w:lineRule="auto"/>
        <w:jc w:val="center"/>
        <w:outlineLvl w:val="0"/>
        <w:rPr>
          <w:rFonts w:eastAsia="黑体"/>
          <w:b/>
          <w:sz w:val="28"/>
          <w:szCs w:val="28"/>
        </w:rPr>
        <w:sectPr>
          <w:pgSz w:w="11906" w:h="16838"/>
          <w:pgMar w:top="2477" w:right="1134" w:bottom="1134" w:left="1417" w:header="1417" w:footer="1134" w:gutter="0"/>
          <w:cols w:space="0" w:num="1"/>
          <w:docGrid w:type="lines" w:linePitch="317" w:charSpace="0"/>
        </w:sectPr>
      </w:pPr>
      <w:r>
        <w:rPr>
          <w:rFonts w:eastAsia="黑体"/>
          <w:b/>
          <w:sz w:val="28"/>
          <w:szCs w:val="28"/>
        </w:rPr>
        <w:br w:type="page"/>
      </w:r>
    </w:p>
    <w:p>
      <w:pPr>
        <w:spacing w:line="360" w:lineRule="auto"/>
        <w:jc w:val="center"/>
        <w:outlineLvl w:val="0"/>
        <w:rPr>
          <w:rFonts w:eastAsia="黑体"/>
          <w:bCs/>
          <w:szCs w:val="21"/>
        </w:rPr>
      </w:pPr>
      <w:r>
        <w:rPr>
          <w:rFonts w:ascii="黑体" w:hAnsi="黑体" w:eastAsia="黑体"/>
          <w:bCs/>
          <w:szCs w:val="21"/>
        </w:rPr>
        <w:t>附</w:t>
      </w:r>
      <w:r>
        <w:rPr>
          <w:rFonts w:hint="eastAsia" w:ascii="黑体" w:hAnsi="黑体" w:eastAsia="黑体"/>
          <w:bCs/>
          <w:szCs w:val="21"/>
        </w:rPr>
        <w:t xml:space="preserve"> </w:t>
      </w:r>
      <w:r>
        <w:rPr>
          <w:rFonts w:ascii="黑体" w:hAnsi="黑体" w:eastAsia="黑体"/>
          <w:bCs/>
          <w:szCs w:val="21"/>
        </w:rPr>
        <w:t xml:space="preserve">录 </w:t>
      </w:r>
      <w:r>
        <w:rPr>
          <w:rFonts w:eastAsia="黑体"/>
          <w:bCs/>
          <w:szCs w:val="21"/>
        </w:rPr>
        <w:t>C</w:t>
      </w:r>
    </w:p>
    <w:p>
      <w:pPr>
        <w:spacing w:line="360" w:lineRule="auto"/>
        <w:jc w:val="center"/>
        <w:rPr>
          <w:rFonts w:ascii="黑体" w:hAnsi="黑体" w:eastAsia="黑体"/>
          <w:bCs/>
          <w:szCs w:val="21"/>
        </w:rPr>
      </w:pPr>
      <w:r>
        <w:rPr>
          <w:rFonts w:ascii="黑体" w:hAnsi="黑体" w:eastAsia="黑体"/>
          <w:bCs/>
          <w:szCs w:val="21"/>
        </w:rPr>
        <w:t>（资料性）</w:t>
      </w:r>
    </w:p>
    <w:p>
      <w:pPr>
        <w:spacing w:line="360" w:lineRule="auto"/>
        <w:jc w:val="center"/>
        <w:rPr>
          <w:rFonts w:ascii="黑体" w:hAnsi="黑体" w:eastAsia="黑体"/>
          <w:bCs/>
          <w:szCs w:val="21"/>
        </w:rPr>
      </w:pPr>
      <w:r>
        <w:rPr>
          <w:rFonts w:ascii="黑体" w:hAnsi="黑体" w:eastAsia="黑体"/>
          <w:bCs/>
          <w:szCs w:val="21"/>
        </w:rPr>
        <w:t>主要</w:t>
      </w:r>
      <w:r>
        <w:rPr>
          <w:rFonts w:hint="eastAsia" w:ascii="黑体" w:hAnsi="黑体" w:eastAsia="黑体"/>
          <w:bCs/>
          <w:szCs w:val="21"/>
        </w:rPr>
        <w:t>果用型</w:t>
      </w:r>
      <w:r>
        <w:rPr>
          <w:rFonts w:ascii="黑体" w:hAnsi="黑体" w:eastAsia="黑体"/>
          <w:bCs/>
          <w:szCs w:val="21"/>
        </w:rPr>
        <w:t>油料能源林树种</w:t>
      </w:r>
      <w:r>
        <w:rPr>
          <w:rFonts w:hint="eastAsia" w:ascii="黑体" w:hAnsi="黑体" w:eastAsia="黑体"/>
          <w:bCs/>
          <w:szCs w:val="21"/>
        </w:rPr>
        <w:t>造林</w:t>
      </w:r>
      <w:r>
        <w:rPr>
          <w:rFonts w:ascii="黑体" w:hAnsi="黑体" w:eastAsia="黑体"/>
          <w:bCs/>
          <w:szCs w:val="21"/>
        </w:rPr>
        <w:t>技术</w:t>
      </w:r>
    </w:p>
    <w:p>
      <w:pPr>
        <w:spacing w:line="360" w:lineRule="auto"/>
        <w:ind w:firstLine="420" w:firstLineChars="200"/>
        <w:jc w:val="left"/>
        <w:rPr>
          <w:rFonts w:ascii="黑体" w:hAnsi="黑体" w:eastAsia="黑体"/>
          <w:bCs/>
          <w:szCs w:val="21"/>
        </w:rPr>
      </w:pPr>
      <w:r>
        <w:rPr>
          <w:rFonts w:hint="eastAsia" w:ascii="宋体" w:hAnsi="宋体"/>
          <w:bCs/>
          <w:szCs w:val="21"/>
        </w:rPr>
        <w:t>表</w:t>
      </w:r>
      <w:r>
        <w:rPr>
          <w:rFonts w:hint="eastAsia"/>
          <w:bCs/>
          <w:szCs w:val="21"/>
        </w:rPr>
        <w:t>C</w:t>
      </w:r>
      <w:r>
        <w:rPr>
          <w:bCs/>
          <w:szCs w:val="21"/>
        </w:rPr>
        <w:t>.1</w:t>
      </w:r>
      <w:r>
        <w:rPr>
          <w:rFonts w:hint="eastAsia"/>
          <w:bCs/>
          <w:szCs w:val="21"/>
        </w:rPr>
        <w:t>给出</w:t>
      </w:r>
      <w:r>
        <w:rPr>
          <w:rFonts w:hint="eastAsia" w:ascii="宋体" w:hAnsi="宋体"/>
          <w:bCs/>
          <w:szCs w:val="21"/>
        </w:rPr>
        <w:t>了主要果用型油料能源林树种造林技术。</w:t>
      </w:r>
    </w:p>
    <w:p>
      <w:pPr>
        <w:spacing w:line="360" w:lineRule="auto"/>
        <w:jc w:val="center"/>
        <w:rPr>
          <w:rFonts w:ascii="黑体" w:hAnsi="黑体" w:eastAsia="黑体"/>
          <w:bCs/>
          <w:szCs w:val="21"/>
        </w:rPr>
      </w:pPr>
      <w:r>
        <w:rPr>
          <w:rFonts w:hint="eastAsia" w:asciiTheme="minorEastAsia" w:hAnsiTheme="minorEastAsia" w:cstheme="minorEastAsia"/>
          <w:bCs/>
          <w:szCs w:val="21"/>
        </w:rPr>
        <w:t>表C.1 主要果用型油料能源林树种造林技术</w:t>
      </w:r>
    </w:p>
    <w:tbl>
      <w:tblPr>
        <w:tblStyle w:val="29"/>
        <w:tblW w:w="493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9"/>
        <w:gridCol w:w="8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12"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87"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 w:type="pct"/>
            <w:shd w:val="clear" w:color="auto" w:fill="auto"/>
            <w:vAlign w:val="center"/>
          </w:tcPr>
          <w:p>
            <w:pPr>
              <w:spacing w:line="360" w:lineRule="auto"/>
              <w:jc w:val="center"/>
              <w:rPr>
                <w:rFonts w:ascii="Times New Roman" w:hAnsi="Times New Roman" w:cs="Times New Roman"/>
                <w:bCs/>
                <w:sz w:val="18"/>
                <w:szCs w:val="18"/>
              </w:rPr>
            </w:pPr>
            <w:r>
              <w:rPr>
                <w:rFonts w:ascii="Times New Roman" w:hAnsi="Times New Roman" w:cs="Times New Roman"/>
                <w:bCs/>
                <w:sz w:val="18"/>
                <w:szCs w:val="18"/>
              </w:rPr>
              <w:t>麻疯树</w:t>
            </w:r>
          </w:p>
        </w:tc>
        <w:tc>
          <w:tcPr>
            <w:tcW w:w="4587" w:type="pct"/>
            <w:shd w:val="clear" w:color="auto" w:fill="auto"/>
          </w:tcPr>
          <w:p>
            <w:pPr>
              <w:ind w:left="273" w:leftChars="1" w:hanging="271" w:hangingChars="151"/>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kern w:val="0"/>
                <w:sz w:val="18"/>
                <w:szCs w:val="18"/>
              </w:rPr>
              <w:t>造林地</w:t>
            </w:r>
            <w:r>
              <w:rPr>
                <w:rFonts w:hint="eastAsia" w:ascii="Times New Roman" w:hAnsi="Times New Roman" w:cs="Times New Roman"/>
                <w:bCs/>
                <w:kern w:val="0"/>
                <w:sz w:val="18"/>
                <w:szCs w:val="18"/>
              </w:rPr>
              <w:t>选择</w:t>
            </w:r>
            <w:r>
              <w:rPr>
                <w:rFonts w:ascii="Times New Roman" w:hAnsi="Times New Roman" w:cs="Times New Roman"/>
                <w:bCs/>
                <w:sz w:val="18"/>
                <w:szCs w:val="18"/>
              </w:rPr>
              <w:t>：适生区</w:t>
            </w:r>
            <w:r>
              <w:rPr>
                <w:rFonts w:hint="eastAsia" w:ascii="Times New Roman" w:hAnsi="Times New Roman" w:cs="Times New Roman"/>
                <w:bCs/>
                <w:sz w:val="18"/>
                <w:szCs w:val="18"/>
              </w:rPr>
              <w:t>选择</w:t>
            </w:r>
            <w:r>
              <w:rPr>
                <w:rFonts w:ascii="Times New Roman" w:hAnsi="Times New Roman" w:cs="Times New Roman"/>
                <w:bCs/>
                <w:sz w:val="18"/>
                <w:szCs w:val="18"/>
              </w:rPr>
              <w:t>土层厚度30cm、质地疏松、排水透气良好的立地。坡地选择阳坡、半阳坡。</w:t>
            </w:r>
          </w:p>
          <w:p>
            <w:pPr>
              <w:ind w:left="273" w:leftChars="1" w:hanging="271" w:hangingChars="151"/>
              <w:rPr>
                <w:rFonts w:ascii="Times New Roman" w:hAnsi="Times New Roman" w:cs="Times New Roman"/>
                <w:bCs/>
                <w:sz w:val="18"/>
                <w:szCs w:val="18"/>
              </w:rPr>
            </w:pPr>
            <w:r>
              <w:rPr>
                <w:rFonts w:ascii="Times New Roman" w:hAnsi="Times New Roman" w:cs="Times New Roman"/>
                <w:bCs/>
                <w:sz w:val="18"/>
                <w:szCs w:val="18"/>
              </w:rPr>
              <w:t>2．造林：块状或带状清理林地，可采用穴状、带状或带状+穴状整地。山地一般采用沿水平带的穴状整地，规格60 cm×60 cm×60 cm。春季或秋季植苗造林，干热河谷地区一般雨季造林。</w:t>
            </w:r>
            <w:r>
              <w:rPr>
                <w:rFonts w:ascii="Times New Roman" w:hAnsi="Times New Roman" w:cs="Times New Roman"/>
                <w:bCs/>
                <w:kern w:val="0"/>
                <w:sz w:val="18"/>
                <w:szCs w:val="18"/>
              </w:rPr>
              <w:t>栽植密度1111株/hm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～2500株/hm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autoSpaceDE w:val="0"/>
              <w:autoSpaceDN w:val="0"/>
              <w:adjustRightInd w:val="0"/>
              <w:ind w:left="273" w:leftChars="1" w:hanging="271" w:hangingChars="151"/>
              <w:rPr>
                <w:rFonts w:ascii="Times New Roman" w:hAnsi="Times New Roman" w:cs="Times New Roman"/>
                <w:bCs/>
                <w:sz w:val="18"/>
                <w:szCs w:val="18"/>
              </w:rPr>
            </w:pPr>
            <w:r>
              <w:rPr>
                <w:rFonts w:ascii="Times New Roman" w:hAnsi="Times New Roman" w:cs="Times New Roman"/>
                <w:bCs/>
                <w:sz w:val="18"/>
                <w:szCs w:val="18"/>
              </w:rPr>
              <w:t>3．树体管理：</w:t>
            </w:r>
            <w:r>
              <w:rPr>
                <w:rFonts w:ascii="Times New Roman" w:hAnsi="Times New Roman" w:cs="Times New Roman"/>
                <w:bCs/>
                <w:kern w:val="0"/>
                <w:sz w:val="18"/>
                <w:szCs w:val="18"/>
              </w:rPr>
              <w:t>培养一二级主枝明显、树冠开张、侧枝量多的树形，尽量增加结果枝数量。定植当年在距地面约50 cm处</w:t>
            </w:r>
            <w:r>
              <w:rPr>
                <w:rFonts w:ascii="Times New Roman" w:hAnsi="Times New Roman" w:cs="Times New Roman"/>
                <w:bCs/>
                <w:sz w:val="18"/>
                <w:szCs w:val="18"/>
              </w:rPr>
              <w:t>定干</w:t>
            </w:r>
            <w:r>
              <w:rPr>
                <w:rFonts w:ascii="Times New Roman" w:hAnsi="Times New Roman" w:cs="Times New Roman"/>
                <w:bCs/>
                <w:kern w:val="0"/>
                <w:sz w:val="18"/>
                <w:szCs w:val="18"/>
              </w:rPr>
              <w:t>，分枝后选留分布均匀的4</w:t>
            </w:r>
            <w:r>
              <w:rPr>
                <w:rFonts w:ascii="Times New Roman" w:hAnsi="Times New Roman" w:cs="Times New Roman"/>
                <w:bCs/>
                <w:sz w:val="18"/>
                <w:szCs w:val="18"/>
              </w:rPr>
              <w:t>～</w:t>
            </w:r>
            <w:r>
              <w:rPr>
                <w:rFonts w:ascii="Times New Roman" w:hAnsi="Times New Roman" w:cs="Times New Roman"/>
                <w:bCs/>
                <w:kern w:val="0"/>
                <w:sz w:val="18"/>
                <w:szCs w:val="18"/>
              </w:rPr>
              <w:t>5枝条作为一级主枝，剪留长度为50 cm左右，之后每主枝培养出2</w:t>
            </w:r>
            <w:r>
              <w:rPr>
                <w:rFonts w:ascii="Times New Roman" w:hAnsi="Times New Roman" w:cs="Times New Roman"/>
                <w:bCs/>
                <w:sz w:val="18"/>
                <w:szCs w:val="18"/>
              </w:rPr>
              <w:t>～</w:t>
            </w:r>
            <w:r>
              <w:rPr>
                <w:rFonts w:ascii="Times New Roman" w:hAnsi="Times New Roman" w:cs="Times New Roman"/>
                <w:bCs/>
                <w:kern w:val="0"/>
                <w:sz w:val="18"/>
                <w:szCs w:val="18"/>
              </w:rPr>
              <w:t>3条侧枝作为副主枝。利用副主枝培养结果枝，剪留长度为40 cm左右。</w:t>
            </w:r>
          </w:p>
          <w:p>
            <w:pPr>
              <w:widowControl/>
              <w:ind w:left="273" w:leftChars="1" w:hanging="271" w:hangingChars="151"/>
              <w:rPr>
                <w:rFonts w:ascii="Times New Roman" w:hAnsi="Times New Roman" w:cs="Times New Roman"/>
                <w:bCs/>
                <w:sz w:val="18"/>
                <w:szCs w:val="18"/>
              </w:rPr>
            </w:pPr>
            <w:r>
              <w:rPr>
                <w:rFonts w:ascii="Times New Roman" w:hAnsi="Times New Roman" w:cs="Times New Roman"/>
                <w:bCs/>
                <w:sz w:val="18"/>
                <w:szCs w:val="18"/>
              </w:rPr>
              <w:t>4．抚育管理：造林后连续抚育3年，松土与除草结合。第一次抚育在造林当年的8～9月进行，第二、三年分别在5月和8～9月进行。基肥一般每穴施腐熟有机肥 5 kg～10 kg、过磷酸钙或钙镁磷肥0.5 kg、复合肥 0.1 kg。追肥雨季前以氮肥为主，施用量一般为每株20 g～40 g。雨季后施追肥以复合肥为主，施肥量一般为每株0.1 kg～0.5 kg。在麻疯树生长期（3 ～12 月），遇旱时及时适量灌溉，每月灌水一次，以树盘土壤湿润为宜。</w:t>
            </w:r>
          </w:p>
          <w:p>
            <w:pPr>
              <w:ind w:left="273" w:leftChars="1" w:hanging="271" w:hangingChars="151"/>
              <w:rPr>
                <w:rFonts w:ascii="Times New Roman" w:hAnsi="Times New Roman" w:cs="Times New Roman"/>
                <w:bCs/>
                <w:sz w:val="18"/>
                <w:szCs w:val="18"/>
              </w:rPr>
            </w:pPr>
            <w:r>
              <w:rPr>
                <w:rFonts w:ascii="Times New Roman" w:hAnsi="Times New Roman" w:cs="Times New Roman"/>
                <w:bCs/>
                <w:sz w:val="18"/>
                <w:szCs w:val="18"/>
                <w:shd w:val="clear" w:color="auto" w:fill="FFFFFF"/>
              </w:rPr>
              <w:t>5．收获：在果实颜色由黄转褐时采摘，以人工采收为主。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 w:type="pct"/>
            <w:shd w:val="clear" w:color="auto" w:fill="auto"/>
            <w:vAlign w:val="center"/>
          </w:tcPr>
          <w:p>
            <w:pPr>
              <w:spacing w:line="360" w:lineRule="auto"/>
              <w:jc w:val="center"/>
              <w:rPr>
                <w:rFonts w:ascii="Times New Roman" w:hAnsi="Times New Roman" w:cs="Times New Roman"/>
                <w:bCs/>
                <w:sz w:val="18"/>
                <w:szCs w:val="18"/>
              </w:rPr>
            </w:pPr>
            <w:r>
              <w:rPr>
                <w:rFonts w:hint="eastAsia" w:ascii="Times New Roman" w:hAnsi="Times New Roman" w:cs="Times New Roman"/>
                <w:bCs/>
                <w:sz w:val="18"/>
                <w:szCs w:val="18"/>
              </w:rPr>
              <w:t>文冠果</w:t>
            </w:r>
          </w:p>
        </w:tc>
        <w:tc>
          <w:tcPr>
            <w:tcW w:w="4587" w:type="pct"/>
            <w:shd w:val="clear" w:color="auto" w:fill="auto"/>
          </w:tcPr>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：一般选择土层厚50 cm以上、坡度≤30°、背风向阳的沙壤土、轻沙壤土或黑垆土地区。土壤应为中性或微碱性。排水不良的低湿地、重盐碱地及多石的山地，需改造后再造林。</w:t>
            </w:r>
          </w:p>
          <w:p>
            <w:pPr>
              <w:autoSpaceDE w:val="0"/>
              <w:autoSpaceDN w:val="0"/>
              <w:adjustRightInd w:val="0"/>
              <w:ind w:left="274" w:hanging="273" w:hangingChars="152"/>
              <w:rPr>
                <w:rFonts w:ascii="Times New Roman" w:hAnsi="Times New Roman" w:cs="Times New Roman"/>
                <w:bCs/>
                <w:kern w:val="0"/>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造林：采用块状或带状方式清理林地，平坦地可采用穴状整地，坡度较大的丘陵地、山地可采取鱼鳞坑或者带状整地。鱼鳞坑品字形布设，带宽2 m左右。坡度较大的山地适于水平沟整地或修筑梯田。造林时间以春季为主。</w:t>
            </w:r>
            <w:r>
              <w:rPr>
                <w:rFonts w:ascii="Times New Roman" w:hAnsi="Times New Roman" w:cs="Times New Roman"/>
                <w:bCs/>
                <w:kern w:val="0"/>
                <w:sz w:val="18"/>
                <w:szCs w:val="18"/>
              </w:rPr>
              <w:t>栽植密度625株/hm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～1111株/hm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ind w:left="274" w:hanging="273" w:hangingChars="152"/>
              <w:rPr>
                <w:rFonts w:ascii="Times New Roman" w:hAnsi="Times New Roman" w:cs="Times New Roman"/>
                <w:bCs/>
                <w:kern w:val="0"/>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树体管理：按小冠疏层形、矮干开心形等整形。</w:t>
            </w:r>
            <w:r>
              <w:rPr>
                <w:rFonts w:ascii="Times New Roman" w:hAnsi="Times New Roman" w:cs="Times New Roman"/>
                <w:bCs/>
                <w:kern w:val="0"/>
                <w:sz w:val="18"/>
                <w:szCs w:val="18"/>
              </w:rPr>
              <w:t>定植当年在距地面50 cm</w:t>
            </w:r>
            <w:r>
              <w:rPr>
                <w:rFonts w:ascii="Times New Roman" w:hAnsi="Times New Roman" w:cs="Times New Roman"/>
                <w:bCs/>
                <w:sz w:val="18"/>
                <w:szCs w:val="18"/>
              </w:rPr>
              <w:t>～7</w:t>
            </w:r>
            <w:r>
              <w:rPr>
                <w:rFonts w:ascii="Times New Roman" w:hAnsi="Times New Roman" w:cs="Times New Roman"/>
                <w:bCs/>
                <w:kern w:val="0"/>
                <w:sz w:val="18"/>
                <w:szCs w:val="18"/>
              </w:rPr>
              <w:t>0 cm处定干，剪口下10 cm</w:t>
            </w:r>
            <w:r>
              <w:rPr>
                <w:rFonts w:ascii="Times New Roman" w:hAnsi="Times New Roman" w:cs="Times New Roman"/>
                <w:bCs/>
                <w:sz w:val="18"/>
                <w:szCs w:val="18"/>
              </w:rPr>
              <w:t>～</w:t>
            </w:r>
            <w:r>
              <w:rPr>
                <w:rFonts w:ascii="Times New Roman" w:hAnsi="Times New Roman" w:cs="Times New Roman"/>
                <w:bCs/>
                <w:kern w:val="0"/>
                <w:sz w:val="18"/>
                <w:szCs w:val="18"/>
              </w:rPr>
              <w:t>20 cm选留3</w:t>
            </w:r>
            <w:r>
              <w:rPr>
                <w:rFonts w:ascii="Times New Roman" w:hAnsi="Times New Roman" w:cs="Times New Roman"/>
                <w:bCs/>
                <w:sz w:val="18"/>
                <w:szCs w:val="18"/>
              </w:rPr>
              <w:t>～</w:t>
            </w:r>
            <w:r>
              <w:rPr>
                <w:rFonts w:ascii="Times New Roman" w:hAnsi="Times New Roman" w:cs="Times New Roman"/>
                <w:bCs/>
                <w:kern w:val="0"/>
                <w:sz w:val="18"/>
                <w:szCs w:val="18"/>
              </w:rPr>
              <w:t>4壮枝作为主枝。</w:t>
            </w:r>
            <w:r>
              <w:rPr>
                <w:rFonts w:ascii="Times New Roman" w:hAnsi="Times New Roman" w:cs="Times New Roman"/>
                <w:bCs/>
                <w:sz w:val="18"/>
                <w:szCs w:val="18"/>
              </w:rPr>
              <w:t xml:space="preserve">次年冬季，在主枝上距主干30 </w:t>
            </w:r>
            <w:r>
              <w:rPr>
                <w:rFonts w:ascii="Times New Roman" w:hAnsi="Times New Roman" w:cs="Times New Roman"/>
                <w:bCs/>
                <w:kern w:val="0"/>
                <w:sz w:val="18"/>
                <w:szCs w:val="18"/>
              </w:rPr>
              <w:t>cm</w:t>
            </w:r>
            <w:r>
              <w:rPr>
                <w:rFonts w:ascii="Times New Roman" w:hAnsi="Times New Roman" w:cs="Times New Roman"/>
                <w:bCs/>
                <w:sz w:val="18"/>
                <w:szCs w:val="18"/>
              </w:rPr>
              <w:t>～40 cm处选留侧枝，</w:t>
            </w:r>
            <w:r>
              <w:rPr>
                <w:rFonts w:ascii="Times New Roman" w:hAnsi="Times New Roman" w:cs="Times New Roman"/>
                <w:bCs/>
                <w:kern w:val="0"/>
                <w:sz w:val="18"/>
                <w:szCs w:val="18"/>
              </w:rPr>
              <w:t>其余枝条短截，留10 cm</w:t>
            </w:r>
            <w:r>
              <w:rPr>
                <w:rFonts w:ascii="Times New Roman" w:hAnsi="Times New Roman" w:cs="Times New Roman"/>
                <w:bCs/>
                <w:sz w:val="18"/>
                <w:szCs w:val="18"/>
              </w:rPr>
              <w:t>～</w:t>
            </w:r>
            <w:r>
              <w:rPr>
                <w:rFonts w:ascii="Times New Roman" w:hAnsi="Times New Roman" w:cs="Times New Roman"/>
                <w:bCs/>
                <w:kern w:val="0"/>
                <w:sz w:val="18"/>
                <w:szCs w:val="18"/>
              </w:rPr>
              <w:t>20 cm培养结果枝组，保留3</w:t>
            </w:r>
            <w:r>
              <w:rPr>
                <w:rFonts w:ascii="Times New Roman" w:hAnsi="Times New Roman" w:cs="Times New Roman"/>
                <w:bCs/>
                <w:sz w:val="18"/>
                <w:szCs w:val="18"/>
              </w:rPr>
              <w:t>～</w:t>
            </w:r>
            <w:r>
              <w:rPr>
                <w:rFonts w:ascii="Times New Roman" w:hAnsi="Times New Roman" w:cs="Times New Roman"/>
                <w:bCs/>
                <w:kern w:val="0"/>
                <w:sz w:val="18"/>
                <w:szCs w:val="18"/>
              </w:rPr>
              <w:t>4个萌芽枝。第3年树体进入结果期，采用中短截培养结果枝组，更新采用双枝更新法。第3</w:t>
            </w:r>
            <w:r>
              <w:rPr>
                <w:rFonts w:ascii="Times New Roman" w:hAnsi="Times New Roman" w:cs="Times New Roman"/>
                <w:bCs/>
                <w:sz w:val="18"/>
                <w:szCs w:val="18"/>
              </w:rPr>
              <w:t>～</w:t>
            </w:r>
            <w:r>
              <w:rPr>
                <w:rFonts w:ascii="Times New Roman" w:hAnsi="Times New Roman" w:cs="Times New Roman"/>
                <w:bCs/>
                <w:kern w:val="0"/>
                <w:sz w:val="18"/>
                <w:szCs w:val="18"/>
              </w:rPr>
              <w:t>5年，在前一年保留的萌芽枝30 cm</w:t>
            </w:r>
            <w:r>
              <w:rPr>
                <w:rFonts w:ascii="Times New Roman" w:hAnsi="Times New Roman" w:cs="Times New Roman"/>
                <w:bCs/>
                <w:sz w:val="18"/>
                <w:szCs w:val="18"/>
              </w:rPr>
              <w:t>～</w:t>
            </w:r>
            <w:r>
              <w:rPr>
                <w:rFonts w:ascii="Times New Roman" w:hAnsi="Times New Roman" w:cs="Times New Roman"/>
                <w:bCs/>
                <w:kern w:val="0"/>
                <w:sz w:val="18"/>
                <w:szCs w:val="18"/>
              </w:rPr>
              <w:t>40 cm摘心，顶部10 cm</w:t>
            </w:r>
            <w:r>
              <w:rPr>
                <w:rFonts w:ascii="Times New Roman" w:hAnsi="Times New Roman" w:cs="Times New Roman"/>
                <w:bCs/>
                <w:sz w:val="18"/>
                <w:szCs w:val="18"/>
              </w:rPr>
              <w:t>～</w:t>
            </w:r>
            <w:r>
              <w:rPr>
                <w:rFonts w:ascii="Times New Roman" w:hAnsi="Times New Roman" w:cs="Times New Roman"/>
                <w:bCs/>
                <w:kern w:val="0"/>
                <w:sz w:val="18"/>
                <w:szCs w:val="18"/>
              </w:rPr>
              <w:t>20 cm选留3</w:t>
            </w:r>
            <w:r>
              <w:rPr>
                <w:rFonts w:ascii="Times New Roman" w:hAnsi="Times New Roman" w:cs="Times New Roman"/>
                <w:bCs/>
                <w:sz w:val="18"/>
                <w:szCs w:val="18"/>
              </w:rPr>
              <w:t>～</w:t>
            </w:r>
            <w:r>
              <w:rPr>
                <w:rFonts w:ascii="Times New Roman" w:hAnsi="Times New Roman" w:cs="Times New Roman"/>
                <w:bCs/>
                <w:kern w:val="0"/>
                <w:sz w:val="18"/>
                <w:szCs w:val="18"/>
              </w:rPr>
              <w:t>4个萌芽枝。顶端直径&gt;4 mm、基部直径&gt;5 mm的结果枝保留，6</w:t>
            </w:r>
            <w:r>
              <w:rPr>
                <w:rFonts w:ascii="Times New Roman" w:hAnsi="Times New Roman" w:cs="Times New Roman"/>
                <w:bCs/>
                <w:sz w:val="18"/>
                <w:szCs w:val="18"/>
              </w:rPr>
              <w:t>0°开张角度，</w:t>
            </w:r>
            <w:r>
              <w:rPr>
                <w:rFonts w:ascii="Times New Roman" w:hAnsi="Times New Roman" w:cs="Times New Roman"/>
                <w:bCs/>
                <w:kern w:val="0"/>
                <w:sz w:val="18"/>
                <w:szCs w:val="18"/>
              </w:rPr>
              <w:t>每平米树冠投影面积留18～20个结果母枝。</w:t>
            </w:r>
          </w:p>
          <w:p>
            <w:pPr>
              <w:widowControl/>
              <w:ind w:left="274" w:hanging="273" w:hangingChars="152"/>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抚育管理：基肥每穴施有机肥或腐熟的农家肥20 kg～25 kg。栽植后前5年，每年5～8月追肥1～2次，选用复合肥，每棵树追肥量1 kg～2 kg。栽植5年后，每年开花前20 d追施一次氮肥，开花后10 d和果实膨大期追施复合肥1～2次，每年10月上中旬追施基肥，每棵树每次追肥量1 kg～2 kg。幼树宜适当施用生长调节剂。盛花期可喷洒3×10</w:t>
            </w:r>
            <w:r>
              <w:rPr>
                <w:rFonts w:ascii="Times New Roman" w:hAnsi="Times New Roman" w:cs="Times New Roman"/>
                <w:bCs/>
                <w:sz w:val="18"/>
                <w:szCs w:val="18"/>
                <w:vertAlign w:val="superscript"/>
              </w:rPr>
              <w:t>-5</w:t>
            </w:r>
            <w:r>
              <w:rPr>
                <w:rFonts w:ascii="Times New Roman" w:hAnsi="Times New Roman" w:cs="Times New Roman"/>
                <w:bCs/>
                <w:sz w:val="18"/>
                <w:szCs w:val="18"/>
              </w:rPr>
              <w:t>～4×10</w:t>
            </w:r>
            <w:r>
              <w:rPr>
                <w:rFonts w:ascii="Times New Roman" w:hAnsi="Times New Roman" w:cs="Times New Roman"/>
                <w:bCs/>
                <w:sz w:val="18"/>
                <w:szCs w:val="18"/>
                <w:vertAlign w:val="superscript"/>
              </w:rPr>
              <w:t>-5</w:t>
            </w:r>
            <w:r>
              <w:rPr>
                <w:rFonts w:ascii="Times New Roman" w:hAnsi="Times New Roman" w:cs="Times New Roman"/>
                <w:bCs/>
                <w:sz w:val="18"/>
                <w:szCs w:val="18"/>
              </w:rPr>
              <w:t>萘乙酸。栽植后两周，每周浇水1次。栽植40 d以后，视生长情况和土壤墒情适时灌水。栽植5年后，每年3月至6月中旬在萌芽前期、新梢生长期、花期、果实膨大期宜浇灌水1～2次，果实采收前15 d不再浇水，土壤结冻前浇防冻水。</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5．收获：</w:t>
            </w:r>
            <w:r>
              <w:rPr>
                <w:rFonts w:ascii="Times New Roman" w:hAnsi="Times New Roman" w:cs="Times New Roman"/>
                <w:bCs/>
                <w:sz w:val="18"/>
                <w:szCs w:val="18"/>
              </w:rPr>
              <w:t>一般7～8月，果皮由绿色变为黄褐色，种子由红褐色变为黑色，果皮刚开裂时采摘，</w:t>
            </w:r>
            <w:r>
              <w:rPr>
                <w:rFonts w:ascii="Times New Roman" w:hAnsi="Times New Roman" w:cs="Times New Roman"/>
                <w:bCs/>
                <w:sz w:val="18"/>
                <w:szCs w:val="18"/>
                <w:shd w:val="clear" w:color="auto" w:fill="FFFFFF"/>
              </w:rPr>
              <w:t>以人工采收</w:t>
            </w:r>
            <w:r>
              <w:rPr>
                <w:rFonts w:hint="eastAsia" w:ascii="Times New Roman" w:hAnsi="Times New Roman" w:cs="Times New Roman"/>
                <w:bCs/>
                <w:sz w:val="18"/>
                <w:szCs w:val="18"/>
                <w:shd w:val="clear" w:color="auto" w:fill="FFFFFF"/>
              </w:rPr>
              <w:t>为主。</w:t>
            </w:r>
          </w:p>
        </w:tc>
      </w:tr>
    </w:tbl>
    <w:p>
      <w:pPr>
        <w:spacing w:line="360" w:lineRule="auto"/>
        <w:jc w:val="center"/>
        <w:rPr>
          <w:rFonts w:eastAsia="黑体"/>
          <w:b/>
          <w:sz w:val="28"/>
          <w:szCs w:val="28"/>
        </w:rPr>
        <w:sectPr>
          <w:pgSz w:w="11906" w:h="16838"/>
          <w:pgMar w:top="2477" w:right="1134" w:bottom="1134" w:left="1417" w:header="1417" w:footer="1134" w:gutter="0"/>
          <w:cols w:space="0" w:num="1"/>
          <w:docGrid w:type="lines" w:linePitch="317" w:charSpace="0"/>
        </w:sectPr>
      </w:pPr>
    </w:p>
    <w:p>
      <w:pPr>
        <w:spacing w:line="360" w:lineRule="auto"/>
        <w:jc w:val="center"/>
        <w:rPr>
          <w:rFonts w:ascii="黑体" w:hAnsi="黑体" w:eastAsia="黑体"/>
          <w:bCs/>
          <w:szCs w:val="21"/>
        </w:rPr>
      </w:pPr>
      <w:r>
        <w:rPr>
          <w:rFonts w:hint="eastAsia" w:asciiTheme="minorEastAsia" w:hAnsiTheme="minorEastAsia" w:cstheme="minorEastAsia"/>
          <w:bCs/>
          <w:szCs w:val="21"/>
        </w:rPr>
        <w:t>表C.1 主要果用型油料能源林树种造林技术（续）</w:t>
      </w:r>
    </w:p>
    <w:tbl>
      <w:tblPr>
        <w:tblStyle w:val="29"/>
        <w:tblW w:w="491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7"/>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66"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33"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6" w:type="pct"/>
            <w:shd w:val="clear" w:color="auto" w:fill="auto"/>
            <w:vAlign w:val="center"/>
          </w:tcPr>
          <w:p>
            <w:pPr>
              <w:jc w:val="center"/>
              <w:rPr>
                <w:rFonts w:ascii="Times New Roman" w:hAnsi="Times New Roman" w:cs="Times New Roman"/>
                <w:bCs/>
                <w:kern w:val="0"/>
                <w:sz w:val="18"/>
                <w:szCs w:val="18"/>
              </w:rPr>
            </w:pPr>
            <w:r>
              <w:rPr>
                <w:rFonts w:ascii="Times New Roman" w:hAnsi="Times New Roman" w:cs="Times New Roman"/>
                <w:bCs/>
                <w:sz w:val="18"/>
                <w:szCs w:val="18"/>
              </w:rPr>
              <w:t>黄连木</w:t>
            </w:r>
          </w:p>
        </w:tc>
        <w:tc>
          <w:tcPr>
            <w:tcW w:w="4533" w:type="pct"/>
            <w:shd w:val="clear" w:color="auto" w:fill="auto"/>
          </w:tcPr>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：选择土层厚度20 cm以上，背风向阳、排水良好的地块。</w:t>
            </w:r>
          </w:p>
          <w:p>
            <w:pPr>
              <w:autoSpaceDE w:val="0"/>
              <w:autoSpaceDN w:val="0"/>
              <w:adjustRightInd w:val="0"/>
              <w:ind w:left="274" w:hanging="273" w:hangingChars="152"/>
              <w:rPr>
                <w:rFonts w:ascii="Times New Roman" w:hAnsi="Times New Roman" w:cs="Times New Roman"/>
                <w:bCs/>
                <w:kern w:val="0"/>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采用块状或带状清理，可与整地同时进行。25°以上的坡地采用穴状整地，25°以下的坡地和平地采用带状整地，干旱、半干旱地区的坡地采用鱼鳞坑整地。秋季落叶后到土壤封冻前、春季解冻后到苗木萌芽前植苗造林。</w:t>
            </w:r>
            <w:r>
              <w:rPr>
                <w:rFonts w:ascii="Times New Roman" w:hAnsi="Times New Roman" w:cs="Times New Roman"/>
                <w:bCs/>
                <w:kern w:val="0"/>
                <w:sz w:val="18"/>
                <w:szCs w:val="18"/>
              </w:rPr>
              <w:t>栽植密度825株/hm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～1650株/hm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ind w:left="274" w:hanging="273" w:hangingChars="152"/>
              <w:rPr>
                <w:rFonts w:ascii="Times New Roman" w:hAnsi="Times New Roman" w:cs="Times New Roman"/>
                <w:bCs/>
                <w:kern w:val="0"/>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树体管理：培养开心形、自然圆头形或疏散分层形树形。</w:t>
            </w:r>
            <w:r>
              <w:rPr>
                <w:rFonts w:ascii="Times New Roman" w:hAnsi="Times New Roman" w:cs="Times New Roman"/>
                <w:bCs/>
                <w:kern w:val="0"/>
                <w:sz w:val="18"/>
                <w:szCs w:val="18"/>
              </w:rPr>
              <w:t>定植当年</w:t>
            </w:r>
            <w:r>
              <w:rPr>
                <w:rFonts w:ascii="Times New Roman" w:hAnsi="Times New Roman" w:cs="Times New Roman"/>
                <w:bCs/>
                <w:sz w:val="18"/>
                <w:szCs w:val="18"/>
              </w:rPr>
              <w:t>距地面0.8 m～1.2 m处定干，选留4～7个枝条培养骨干枝。</w:t>
            </w:r>
            <w:r>
              <w:rPr>
                <w:rFonts w:ascii="Times New Roman" w:hAnsi="Times New Roman" w:cs="Times New Roman"/>
                <w:bCs/>
                <w:kern w:val="0"/>
                <w:sz w:val="18"/>
                <w:szCs w:val="18"/>
              </w:rPr>
              <w:t>以短截和疏枝为主，重点培养树形。</w:t>
            </w:r>
            <w:r>
              <w:rPr>
                <w:rFonts w:ascii="Times New Roman" w:hAnsi="Times New Roman" w:cs="Times New Roman"/>
                <w:bCs/>
                <w:sz w:val="18"/>
                <w:szCs w:val="18"/>
              </w:rPr>
              <w:t>初果树适当短截主枝延长枝，夏季拉枝、摘心、抹芽等，培养树体骨架。盛果期主、侧延长头宜轻截或缓放。</w:t>
            </w:r>
            <w:r>
              <w:rPr>
                <w:rFonts w:ascii="Times New Roman" w:hAnsi="Times New Roman" w:cs="Times New Roman"/>
                <w:bCs/>
                <w:kern w:val="0"/>
                <w:sz w:val="18"/>
                <w:szCs w:val="18"/>
              </w:rPr>
              <w:t>以培养和更新结果枝组。结果枝组宜采用双枝更新修剪。盛果末期和衰老树疏除病虫枝，适当疏除老弱枝、密集枝，回缩和重截骨干枝、结果枝，促进其萌发新枝，培养结果部位，延长结果寿命。</w:t>
            </w:r>
          </w:p>
          <w:p>
            <w:pPr>
              <w:widowControl/>
              <w:ind w:left="274" w:hanging="273" w:hangingChars="152"/>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 xml:space="preserve">抚育管理：造林后及时进行松土除草，连续进行3～5年，每年1～3次。基肥以有机肥为主。秋季采果后至第二年发芽前，采用环状沟施、条状沟施方法，初果期每株施有机肥 5 kg～10 kg，盛果期施肥量增至2～3倍。追肥前期以氮肥为主，每株50 g～100 g尿素，后期以磷钾肥为主。秋季结合施有机肥进行深翻、扩穴、改土。干旱季节灌水1～2次，多雨季节及时排水。 </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5．收获：</w:t>
            </w:r>
            <w:r>
              <w:rPr>
                <w:rFonts w:ascii="Times New Roman" w:hAnsi="Times New Roman" w:cs="Times New Roman"/>
                <w:bCs/>
                <w:sz w:val="18"/>
                <w:szCs w:val="18"/>
              </w:rPr>
              <w:t>9～11月果实由褐红色转为铜绿色时采收。用高枝剪剪下果穗。</w:t>
            </w:r>
          </w:p>
          <w:p>
            <w:pPr>
              <w:ind w:left="274" w:hanging="273" w:hangingChars="152"/>
              <w:rPr>
                <w:rFonts w:ascii="Times New Roman" w:hAnsi="Times New Roman" w:cs="Times New Roman"/>
                <w:bCs/>
                <w:sz w:val="18"/>
                <w:szCs w:val="18"/>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6" w:type="pct"/>
            <w:shd w:val="clear" w:color="auto" w:fill="auto"/>
            <w:vAlign w:val="center"/>
          </w:tcPr>
          <w:p>
            <w:pPr>
              <w:jc w:val="center"/>
              <w:rPr>
                <w:rFonts w:ascii="Times New Roman" w:hAnsi="Times New Roman" w:cs="Times New Roman"/>
                <w:bCs/>
                <w:kern w:val="0"/>
                <w:sz w:val="18"/>
                <w:szCs w:val="18"/>
              </w:rPr>
            </w:pPr>
            <w:r>
              <w:rPr>
                <w:rFonts w:ascii="Times New Roman" w:hAnsi="Times New Roman" w:cs="Times New Roman"/>
                <w:bCs/>
                <w:sz w:val="18"/>
                <w:szCs w:val="18"/>
              </w:rPr>
              <w:t>光皮树</w:t>
            </w:r>
          </w:p>
        </w:tc>
        <w:tc>
          <w:tcPr>
            <w:tcW w:w="4533" w:type="pct"/>
            <w:shd w:val="clear" w:color="auto" w:fill="auto"/>
          </w:tcPr>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：选择海拔800  m以下阳坡或丘陵区，坡度≤30°、土层深厚、光照和排水条件良好。</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造林：9～12月整地，坡度在25°以下的采取机械挖壕沟带状整地方式；25°以上的采取品字型穴状整地方式，穴规格一般为60 cm×50 cm×50 cm。整地当年12月至次年2月进行造林，容器苗造林可延长到5月下旬前。</w:t>
            </w:r>
            <w:r>
              <w:rPr>
                <w:rFonts w:ascii="Times New Roman" w:hAnsi="Times New Roman" w:cs="Times New Roman"/>
                <w:bCs/>
                <w:kern w:val="0"/>
                <w:sz w:val="18"/>
                <w:szCs w:val="18"/>
              </w:rPr>
              <w:t>栽植密度500株/hm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～1668株/hm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w:t>
            </w:r>
            <w:r>
              <w:rPr>
                <w:rFonts w:ascii="Times New Roman" w:hAnsi="Times New Roman" w:cs="Times New Roman"/>
                <w:bCs/>
                <w:kern w:val="0"/>
                <w:sz w:val="18"/>
                <w:szCs w:val="18"/>
              </w:rPr>
              <w:t>宜选择自然开心形</w:t>
            </w:r>
            <w:r>
              <w:rPr>
                <w:rFonts w:ascii="Times New Roman" w:hAnsi="Times New Roman" w:cs="Times New Roman"/>
                <w:bCs/>
                <w:sz w:val="18"/>
                <w:szCs w:val="18"/>
              </w:rPr>
              <w:t>和主干疏层形</w:t>
            </w:r>
            <w:r>
              <w:rPr>
                <w:rFonts w:ascii="Times New Roman" w:hAnsi="Times New Roman" w:cs="Times New Roman"/>
                <w:bCs/>
                <w:kern w:val="0"/>
                <w:sz w:val="18"/>
                <w:szCs w:val="18"/>
              </w:rPr>
              <w:t>作为丰产树形。自然开心形：栽植当年40 cm</w:t>
            </w:r>
            <w:r>
              <w:rPr>
                <w:rFonts w:ascii="Times New Roman" w:hAnsi="Times New Roman" w:cs="Times New Roman"/>
                <w:bCs/>
                <w:sz w:val="18"/>
                <w:szCs w:val="18"/>
              </w:rPr>
              <w:t>～</w:t>
            </w:r>
            <w:r>
              <w:rPr>
                <w:rFonts w:ascii="Times New Roman" w:hAnsi="Times New Roman" w:cs="Times New Roman"/>
                <w:bCs/>
                <w:kern w:val="0"/>
                <w:sz w:val="18"/>
                <w:szCs w:val="18"/>
              </w:rPr>
              <w:t>60 cm</w:t>
            </w:r>
            <w:r>
              <w:rPr>
                <w:rFonts w:ascii="Times New Roman" w:hAnsi="Times New Roman" w:cs="Times New Roman"/>
                <w:bCs/>
                <w:sz w:val="18"/>
                <w:szCs w:val="18"/>
              </w:rPr>
              <w:t>处</w:t>
            </w:r>
            <w:r>
              <w:rPr>
                <w:rFonts w:ascii="Times New Roman" w:hAnsi="Times New Roman" w:cs="Times New Roman"/>
                <w:bCs/>
                <w:kern w:val="0"/>
                <w:sz w:val="18"/>
                <w:szCs w:val="18"/>
              </w:rPr>
              <w:t>定干。选长势</w:t>
            </w:r>
            <w:r>
              <w:rPr>
                <w:rFonts w:ascii="Times New Roman" w:hAnsi="Times New Roman" w:cs="Times New Roman"/>
                <w:bCs/>
                <w:sz w:val="18"/>
                <w:szCs w:val="18"/>
              </w:rPr>
              <w:t>强、分布均匀</w:t>
            </w:r>
            <w:r>
              <w:rPr>
                <w:rFonts w:ascii="Times New Roman" w:hAnsi="Times New Roman" w:cs="Times New Roman"/>
                <w:bCs/>
                <w:kern w:val="0"/>
                <w:sz w:val="18"/>
                <w:szCs w:val="18"/>
              </w:rPr>
              <w:t>的新梢3～4个作为主枝，其余强枝抹除，较弱枝留5～8片叶摘心作辅养枝。主枝长30 cm～40 cm摘心，以顶端健壮芽形成新的主枝延长枝，在主枝上按30 cm～40 cm间距选留副主枝2～4个，副主枝上选留侧枝，</w:t>
            </w:r>
            <w:r>
              <w:rPr>
                <w:rFonts w:ascii="Times New Roman" w:hAnsi="Times New Roman" w:cs="Times New Roman"/>
                <w:bCs/>
                <w:sz w:val="18"/>
                <w:szCs w:val="18"/>
              </w:rPr>
              <w:t>注意</w:t>
            </w:r>
            <w:r>
              <w:rPr>
                <w:rFonts w:ascii="Times New Roman" w:hAnsi="Times New Roman" w:cs="Times New Roman"/>
                <w:bCs/>
                <w:kern w:val="0"/>
                <w:sz w:val="18"/>
                <w:szCs w:val="18"/>
              </w:rPr>
              <w:t>培育结果枝组。</w:t>
            </w:r>
            <w:r>
              <w:rPr>
                <w:rFonts w:ascii="Times New Roman" w:hAnsi="Times New Roman" w:cs="Times New Roman"/>
                <w:bCs/>
                <w:sz w:val="18"/>
                <w:szCs w:val="18"/>
              </w:rPr>
              <w:t xml:space="preserve">主干疏层形：按自然开心形培育法培育第一层主枝3～4个，第一层主枝形成后，在延长主干上端距第一层主枝60 </w:t>
            </w:r>
            <w:r>
              <w:rPr>
                <w:rFonts w:ascii="Times New Roman" w:hAnsi="Times New Roman" w:cs="Times New Roman"/>
                <w:bCs/>
                <w:kern w:val="0"/>
                <w:sz w:val="18"/>
                <w:szCs w:val="18"/>
              </w:rPr>
              <w:t>cm</w:t>
            </w:r>
            <w:r>
              <w:rPr>
                <w:rFonts w:ascii="Times New Roman" w:hAnsi="Times New Roman" w:cs="Times New Roman"/>
                <w:bCs/>
                <w:sz w:val="18"/>
                <w:szCs w:val="18"/>
              </w:rPr>
              <w:t>～80 cm处选留第二层主枝2～3个。第二层主枝选留到位后不再保留中央主干。副主枝、侧枝培育法同自然开心形。</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抚育管理：造林后前3年，每年5～6月和8～9月各开展1～2次除草、松土等抚育管理；3年后每年5～6月进行1次除草、松土等抚育管理。基肥每穴施枯饼肥0.5 kg或复合肥0.10 kg～0.15 kg。造林后2～3年，采取穴状、环沟或纵沟方式施肥，每年春末夏初结合抚育施追肥，每穴施复合肥0.2 kg～0.3 kg。冬季树木停止生长后施一次冬肥，每穴施枯饼肥0.5 kg～0.8 kg，随树体增大施肥量酌量增加。开花坐果期叶面喷施2～3次营养液，可采用0.2 %～0.5 %尿素加0.2%磷酸二氢钾加0.1 %～0.2 %硼酸混合液等营养液肥。果实膨大期喷施0.3 %～0.5 %磷酸二氢钾1～2次。在7～10月高温、干旱季节，可采用喷灌、滴灌等方式适时适量补充水分。</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5．收获：</w:t>
            </w:r>
            <w:r>
              <w:rPr>
                <w:rFonts w:ascii="Times New Roman" w:hAnsi="Times New Roman" w:cs="Times New Roman"/>
                <w:bCs/>
                <w:sz w:val="18"/>
                <w:szCs w:val="18"/>
              </w:rPr>
              <w:t>大部分果实由绿色转为黑色，挤压有明显油脂光泽时采收，一般为10～11月。</w:t>
            </w:r>
          </w:p>
        </w:tc>
      </w:tr>
    </w:tbl>
    <w:p>
      <w:pPr>
        <w:spacing w:line="360" w:lineRule="auto"/>
        <w:jc w:val="center"/>
        <w:rPr>
          <w:b/>
          <w:szCs w:val="21"/>
        </w:rPr>
      </w:pPr>
    </w:p>
    <w:p>
      <w:pPr>
        <w:spacing w:line="360" w:lineRule="auto"/>
        <w:jc w:val="center"/>
        <w:rPr>
          <w:rFonts w:eastAsia="黑体"/>
          <w:bCs/>
          <w:szCs w:val="21"/>
        </w:rPr>
      </w:pPr>
      <w:r>
        <w:rPr>
          <w:b/>
          <w:szCs w:val="21"/>
        </w:rPr>
        <w:br w:type="page"/>
      </w:r>
      <w:r>
        <w:rPr>
          <w:rFonts w:hint="eastAsia" w:asciiTheme="minorEastAsia" w:hAnsiTheme="minorEastAsia" w:cstheme="minorEastAsia"/>
          <w:bCs/>
          <w:szCs w:val="21"/>
        </w:rPr>
        <w:t>表C.1 主要果用型油料能源林树种造林技术（续）</w:t>
      </w:r>
    </w:p>
    <w:tbl>
      <w:tblPr>
        <w:tblStyle w:val="29"/>
        <w:tblW w:w="49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8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67"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树种</w:t>
            </w:r>
          </w:p>
        </w:tc>
        <w:tc>
          <w:tcPr>
            <w:tcW w:w="4532" w:type="pct"/>
            <w:shd w:val="clear" w:color="auto" w:fill="auto"/>
          </w:tcPr>
          <w:p>
            <w:pPr>
              <w:jc w:val="center"/>
              <w:rPr>
                <w:rFonts w:ascii="Times New Roman" w:hAnsi="Times New Roman" w:cs="Times New Roman"/>
                <w:bCs/>
                <w:sz w:val="18"/>
                <w:szCs w:val="18"/>
              </w:rPr>
            </w:pPr>
            <w:r>
              <w:rPr>
                <w:rFonts w:ascii="Times New Roman" w:hAnsi="Times New Roman" w:cs="Times New Roman"/>
                <w:bCs/>
                <w:sz w:val="18"/>
                <w:szCs w:val="18"/>
              </w:rPr>
              <w:t>造林技术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pct"/>
            <w:shd w:val="clear" w:color="auto" w:fill="auto"/>
            <w:vAlign w:val="center"/>
          </w:tcPr>
          <w:p>
            <w:pPr>
              <w:jc w:val="center"/>
              <w:rPr>
                <w:rFonts w:ascii="Times New Roman" w:hAnsi="Times New Roman" w:cs="Times New Roman"/>
                <w:bCs/>
                <w:kern w:val="0"/>
                <w:sz w:val="18"/>
                <w:szCs w:val="18"/>
              </w:rPr>
            </w:pPr>
            <w:r>
              <w:rPr>
                <w:rFonts w:ascii="Times New Roman" w:hAnsi="Times New Roman" w:cs="Times New Roman"/>
                <w:bCs/>
                <w:sz w:val="18"/>
                <w:szCs w:val="18"/>
              </w:rPr>
              <w:t>无患子</w:t>
            </w:r>
          </w:p>
        </w:tc>
        <w:tc>
          <w:tcPr>
            <w:tcW w:w="4532" w:type="pct"/>
            <w:shd w:val="clear" w:color="auto" w:fill="auto"/>
          </w:tcPr>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：选择海拔1000 m以下、坡度平缓的浅山或丘陵区，土层深厚、疏松、排水良好的向阳地段，酸性至微酸性土壤。</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2．</w:t>
            </w:r>
            <w:r>
              <w:rPr>
                <w:rFonts w:ascii="Times New Roman" w:hAnsi="Times New Roman" w:cs="Times New Roman"/>
                <w:bCs/>
                <w:sz w:val="18"/>
                <w:szCs w:val="18"/>
              </w:rPr>
              <w:t>造林：采用优良无性系嫁接苗造林，荒山荒地应前一年秋冬季全面清除林地杂灌，带状或块状整地。春季造林前开挖植穴，穴深≥50 cm，长宽均60 cm～80 cm，冬末春初苗木萌动前、土壤湿润时段定植苗木。</w:t>
            </w:r>
            <w:r>
              <w:rPr>
                <w:rFonts w:ascii="Times New Roman" w:hAnsi="Times New Roman" w:cs="Times New Roman"/>
                <w:bCs/>
                <w:kern w:val="0"/>
                <w:sz w:val="18"/>
                <w:szCs w:val="18"/>
              </w:rPr>
              <w:t>栽植密度630株/hm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～1500株/hm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树体管理：培养矮化自然开心形树冠。定植当年0.5 m～1.0 m处定干。主干选留3个生长健壮、方位均匀的枝条作主枝。60°开张角度。树高控制在3 m内。第2年每个主枝保留2～3个健壮分枝作副主枝；第3～4年，在继续培养正副主枝的基础上，将生长健壮春梢培养为侧枝群，使三者比例合理，均匀分布</w:t>
            </w:r>
            <w:r>
              <w:rPr>
                <w:rFonts w:ascii="Times New Roman" w:hAnsi="Times New Roman" w:cs="Times New Roman"/>
                <w:bCs/>
                <w:kern w:val="0"/>
                <w:sz w:val="18"/>
                <w:szCs w:val="18"/>
              </w:rPr>
              <w:t>每平米树冠投影面积保留</w:t>
            </w:r>
            <w:r>
              <w:rPr>
                <w:rFonts w:ascii="Times New Roman" w:hAnsi="Times New Roman" w:cs="Times New Roman"/>
                <w:bCs/>
                <w:sz w:val="18"/>
                <w:szCs w:val="18"/>
              </w:rPr>
              <w:t>16～18 个结果母枝。疏除过量花穗，每根结果枝保留3～4个花序。</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抚育管理：造林后2～3年内，每年割灌除草、扩穴培土2次，之后每年抚育1次。施有机肥10 kg或复合肥0.5 kg作基肥。新梢转绿期进行根外追肥，以复合肥为主，氮磷钾适宜配比为1.0</w:t>
            </w:r>
            <w:r>
              <w:rPr>
                <w:rFonts w:ascii="Times New Roman" w:hAnsi="Times New Roman" w:cs="Times New Roman"/>
                <w:bCs/>
                <w:kern w:val="0"/>
                <w:sz w:val="18"/>
                <w:szCs w:val="18"/>
              </w:rPr>
              <w:t>︰</w:t>
            </w:r>
            <w:r>
              <w:rPr>
                <w:rFonts w:ascii="Times New Roman" w:hAnsi="Times New Roman" w:cs="Times New Roman"/>
                <w:bCs/>
                <w:sz w:val="18"/>
                <w:szCs w:val="18"/>
              </w:rPr>
              <w:t>0.5～0.7</w:t>
            </w:r>
            <w:r>
              <w:rPr>
                <w:rFonts w:ascii="Times New Roman" w:hAnsi="Times New Roman" w:cs="Times New Roman"/>
                <w:bCs/>
                <w:kern w:val="0"/>
                <w:sz w:val="18"/>
                <w:szCs w:val="18"/>
              </w:rPr>
              <w:t>︰</w:t>
            </w:r>
            <w:r>
              <w:rPr>
                <w:rFonts w:ascii="Times New Roman" w:hAnsi="Times New Roman" w:cs="Times New Roman"/>
                <w:bCs/>
                <w:sz w:val="18"/>
                <w:szCs w:val="18"/>
              </w:rPr>
              <w:t>0.9～1.0。进入结果期后，春季萌动前施壮体肥，花前1月施促花肥，6～7月施保果肥。春梢萌动及花期（3～5月）和果实膨大期（6～9月）遇干旱应及时灌溉。干旱年份应灌溉抗旱保果。花期遇雨地区可果园养蜂促进授粉，提高坐果率。</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5．收获：</w:t>
            </w:r>
            <w:r>
              <w:rPr>
                <w:rFonts w:ascii="Times New Roman" w:hAnsi="Times New Roman" w:cs="Times New Roman"/>
                <w:bCs/>
                <w:sz w:val="18"/>
                <w:szCs w:val="18"/>
              </w:rPr>
              <w:t>10月下旬～11月上旬，果实由绿色转黄色或棕色后采收。手摘或用竹竿轻轻敲打果枝震落果实。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pct"/>
            <w:shd w:val="clear" w:color="auto" w:fill="auto"/>
            <w:vAlign w:val="center"/>
          </w:tcPr>
          <w:p>
            <w:pPr>
              <w:spacing w:line="360" w:lineRule="auto"/>
              <w:jc w:val="center"/>
              <w:rPr>
                <w:rFonts w:ascii="Times New Roman" w:hAnsi="Times New Roman" w:cs="Times New Roman"/>
                <w:bCs/>
                <w:kern w:val="0"/>
                <w:sz w:val="18"/>
                <w:szCs w:val="18"/>
              </w:rPr>
            </w:pPr>
            <w:r>
              <w:rPr>
                <w:rFonts w:ascii="Times New Roman" w:hAnsi="Times New Roman" w:cs="Times New Roman"/>
                <w:bCs/>
                <w:kern w:val="0"/>
                <w:sz w:val="18"/>
                <w:szCs w:val="18"/>
              </w:rPr>
              <w:t>油棕</w:t>
            </w:r>
          </w:p>
        </w:tc>
        <w:tc>
          <w:tcPr>
            <w:tcW w:w="4532" w:type="pct"/>
            <w:shd w:val="clear" w:color="auto" w:fill="auto"/>
          </w:tcPr>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shd w:val="clear" w:color="auto" w:fill="FFFFFF"/>
              </w:rPr>
              <w:t>．</w:t>
            </w:r>
            <w:r>
              <w:rPr>
                <w:rFonts w:ascii="Times New Roman" w:hAnsi="Times New Roman" w:cs="Times New Roman"/>
                <w:bCs/>
                <w:kern w:val="0"/>
                <w:sz w:val="18"/>
                <w:szCs w:val="18"/>
              </w:rPr>
              <w:t>造林地选择</w:t>
            </w:r>
            <w:r>
              <w:rPr>
                <w:rFonts w:ascii="Times New Roman" w:hAnsi="Times New Roman" w:cs="Times New Roman"/>
                <w:bCs/>
                <w:sz w:val="18"/>
                <w:szCs w:val="18"/>
              </w:rPr>
              <w:t>：</w:t>
            </w:r>
            <w:r>
              <w:rPr>
                <w:rFonts w:ascii="Times New Roman" w:hAnsi="Times New Roman" w:cs="Times New Roman"/>
                <w:bCs/>
                <w:kern w:val="0"/>
                <w:sz w:val="18"/>
                <w:szCs w:val="18"/>
              </w:rPr>
              <w:t>选择排灌良好、土壤肥沃，地势平缓、坡度不超过 20°、完整连片的地块。</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造林：地势平坦采用全园整地，坡度≥15°沿等高线带状整地。植苗株行距为8 m～9 m×8 m～9 m，三角形种植。尽量选择雨季造林。人工挖的植穴规格为 80 cm×70 cm×60 cm；用挖掘机挖的植穴规格为 1.2 m×1.2 m×1.2 m。最佳定值时间为 9～10 月的阴天和小雨天。</w:t>
            </w:r>
            <w:r>
              <w:rPr>
                <w:rFonts w:ascii="Times New Roman" w:hAnsi="Times New Roman" w:cs="Times New Roman"/>
                <w:bCs/>
                <w:kern w:val="0"/>
                <w:sz w:val="18"/>
                <w:szCs w:val="18"/>
              </w:rPr>
              <w:t>栽植密度124株/hm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～204株/hm</w:t>
            </w:r>
            <w:r>
              <w:rPr>
                <w:rFonts w:ascii="Times New Roman" w:hAnsi="Times New Roman" w:cs="Times New Roman"/>
                <w:bCs/>
                <w:kern w:val="0"/>
                <w:sz w:val="18"/>
                <w:szCs w:val="18"/>
                <w:vertAlign w:val="superscript"/>
              </w:rPr>
              <w:t>2</w:t>
            </w:r>
            <w:r>
              <w:rPr>
                <w:rFonts w:ascii="Times New Roman" w:hAnsi="Times New Roman" w:cs="Times New Roman"/>
                <w:bCs/>
                <w:kern w:val="0"/>
                <w:sz w:val="18"/>
                <w:szCs w:val="18"/>
              </w:rPr>
              <w:t>。</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树体管理：</w:t>
            </w:r>
            <w:r>
              <w:rPr>
                <w:rFonts w:ascii="Times New Roman" w:hAnsi="Times New Roman" w:cs="Times New Roman"/>
                <w:bCs/>
                <w:kern w:val="0"/>
                <w:sz w:val="18"/>
                <w:szCs w:val="18"/>
              </w:rPr>
              <w:t>非生产期修剪全年均可进行，以旱季为主，尽可能保留完好功能叶，及时剪除枯叶、老叶，并清除花苞和初结果穗。生产期修剪全年均可进行，以在每年油棕果穗收获高峰期前后，即 3～4月和 10～11 月进行为宜。及时修剪枯叶和过多叶片，清除枯烂花苞（序）和败育果穗。油棕果穗收获高峰期前后，即3～4 月和10～11 月修剪为宜，避免在阴雨季节修剪。修剪时要防止叶柄开裂。结果初期、结果盛期和后期每株分别保留叶片</w:t>
            </w:r>
            <w:r>
              <w:rPr>
                <w:rFonts w:ascii="Times New Roman" w:hAnsi="Times New Roman" w:cs="Times New Roman"/>
                <w:bCs/>
                <w:sz w:val="18"/>
                <w:szCs w:val="18"/>
              </w:rPr>
              <w:t>27～32</w:t>
            </w:r>
            <w:r>
              <w:rPr>
                <w:rFonts w:ascii="Times New Roman" w:hAnsi="Times New Roman" w:cs="Times New Roman"/>
                <w:bCs/>
                <w:kern w:val="0"/>
                <w:sz w:val="18"/>
                <w:szCs w:val="18"/>
              </w:rPr>
              <w:t xml:space="preserve"> 片、40</w:t>
            </w:r>
            <w:r>
              <w:rPr>
                <w:rFonts w:ascii="Times New Roman" w:hAnsi="Times New Roman" w:cs="Times New Roman"/>
                <w:bCs/>
                <w:sz w:val="18"/>
                <w:szCs w:val="18"/>
              </w:rPr>
              <w:t>～</w:t>
            </w:r>
            <w:r>
              <w:rPr>
                <w:rFonts w:ascii="Times New Roman" w:hAnsi="Times New Roman" w:cs="Times New Roman"/>
                <w:bCs/>
                <w:kern w:val="0"/>
                <w:sz w:val="18"/>
                <w:szCs w:val="18"/>
              </w:rPr>
              <w:t>45 片和</w:t>
            </w:r>
            <w:r>
              <w:rPr>
                <w:rFonts w:ascii="Times New Roman" w:hAnsi="Times New Roman" w:cs="Times New Roman"/>
                <w:bCs/>
                <w:sz w:val="18"/>
                <w:szCs w:val="18"/>
              </w:rPr>
              <w:t>38～43</w:t>
            </w:r>
            <w:r>
              <w:rPr>
                <w:rFonts w:ascii="Times New Roman" w:hAnsi="Times New Roman" w:cs="Times New Roman"/>
                <w:bCs/>
                <w:kern w:val="0"/>
                <w:sz w:val="18"/>
                <w:szCs w:val="18"/>
              </w:rPr>
              <w:t>片为宜。</w:t>
            </w:r>
          </w:p>
          <w:p>
            <w:pPr>
              <w:ind w:left="274" w:hanging="273" w:hangingChars="152"/>
              <w:rPr>
                <w:rFonts w:ascii="Times New Roman" w:hAnsi="Times New Roman" w:cs="Times New Roman"/>
                <w:bCs/>
                <w:color w:val="FF0000"/>
                <w:sz w:val="18"/>
                <w:szCs w:val="18"/>
              </w:rPr>
            </w:pPr>
            <w:r>
              <w:rPr>
                <w:rFonts w:ascii="Times New Roman" w:hAnsi="Times New Roman" w:cs="Times New Roman"/>
                <w:bCs/>
                <w:sz w:val="18"/>
                <w:szCs w:val="18"/>
              </w:rPr>
              <w:t>4</w:t>
            </w:r>
            <w:r>
              <w:rPr>
                <w:rFonts w:ascii="Times New Roman" w:hAnsi="Times New Roman" w:cs="Times New Roman"/>
                <w:bCs/>
                <w:sz w:val="18"/>
                <w:szCs w:val="18"/>
                <w:shd w:val="clear" w:color="auto" w:fill="FFFFFF"/>
              </w:rPr>
              <w:t>．</w:t>
            </w:r>
            <w:r>
              <w:rPr>
                <w:rFonts w:ascii="Times New Roman" w:hAnsi="Times New Roman" w:cs="Times New Roman"/>
                <w:bCs/>
                <w:sz w:val="18"/>
                <w:szCs w:val="18"/>
              </w:rPr>
              <w:t>抚育管理：在定植前一个月，每穴施入腐熟的有机肥 50 kg 和 500 g 复合肥（N</w:t>
            </w:r>
            <w:r>
              <w:rPr>
                <w:rFonts w:ascii="Times New Roman" w:hAnsi="Times New Roman" w:cs="Times New Roman"/>
                <w:bCs/>
                <w:kern w:val="0"/>
                <w:sz w:val="18"/>
                <w:szCs w:val="18"/>
              </w:rPr>
              <w:t>︰</w:t>
            </w:r>
            <w:r>
              <w:rPr>
                <w:rFonts w:ascii="Times New Roman" w:hAnsi="Times New Roman" w:cs="Times New Roman"/>
                <w:bCs/>
                <w:sz w:val="18"/>
                <w:szCs w:val="18"/>
              </w:rPr>
              <w:t>P</w:t>
            </w:r>
            <w:r>
              <w:rPr>
                <w:rFonts w:ascii="Times New Roman" w:hAnsi="Times New Roman" w:cs="Times New Roman"/>
                <w:bCs/>
                <w:kern w:val="0"/>
                <w:sz w:val="18"/>
                <w:szCs w:val="18"/>
              </w:rPr>
              <w:t>︰</w:t>
            </w:r>
            <w:r>
              <w:rPr>
                <w:rFonts w:ascii="Times New Roman" w:hAnsi="Times New Roman" w:cs="Times New Roman"/>
                <w:bCs/>
                <w:sz w:val="18"/>
                <w:szCs w:val="18"/>
              </w:rPr>
              <w:t>K=15</w:t>
            </w:r>
            <w:r>
              <w:rPr>
                <w:rFonts w:ascii="Times New Roman" w:hAnsi="Times New Roman" w:cs="Times New Roman"/>
                <w:bCs/>
                <w:kern w:val="0"/>
                <w:sz w:val="18"/>
                <w:szCs w:val="18"/>
              </w:rPr>
              <w:t>︰</w:t>
            </w:r>
            <w:r>
              <w:rPr>
                <w:rFonts w:ascii="Times New Roman" w:hAnsi="Times New Roman" w:cs="Times New Roman"/>
                <w:bCs/>
                <w:sz w:val="18"/>
                <w:szCs w:val="18"/>
              </w:rPr>
              <w:t>15</w:t>
            </w:r>
            <w:r>
              <w:rPr>
                <w:rFonts w:ascii="Times New Roman" w:hAnsi="Times New Roman" w:cs="Times New Roman"/>
                <w:bCs/>
                <w:kern w:val="0"/>
                <w:sz w:val="18"/>
                <w:szCs w:val="18"/>
              </w:rPr>
              <w:t>︰</w:t>
            </w:r>
            <w:r>
              <w:rPr>
                <w:rFonts w:ascii="Times New Roman" w:hAnsi="Times New Roman" w:cs="Times New Roman"/>
                <w:bCs/>
                <w:sz w:val="18"/>
                <w:szCs w:val="18"/>
              </w:rPr>
              <w:t>15）作基肥。非生产期抚育管理：定植后 3 个月内，每两天浇一次水；3 个月后可逐渐减少浇水次数。定植后第二年开始施肥，每株每年至少施 30 kg 腐熟有机肥。在油棕苗四周 1.5 m 以内扩穴除草。定植后连续进行2～3年，每年1～2次。随着树型的扩大扩穴范围不断扩大。生产期抚育管理：每株每年至少施 100 kg 有机肥，化肥施用量比例为 N</w:t>
            </w:r>
            <w:r>
              <w:rPr>
                <w:rFonts w:ascii="Times New Roman" w:hAnsi="Times New Roman" w:cs="Times New Roman"/>
                <w:bCs/>
                <w:kern w:val="0"/>
                <w:sz w:val="18"/>
                <w:szCs w:val="18"/>
              </w:rPr>
              <w:t>︰</w:t>
            </w:r>
            <w:r>
              <w:rPr>
                <w:rFonts w:ascii="Times New Roman" w:hAnsi="Times New Roman" w:cs="Times New Roman"/>
                <w:bCs/>
                <w:sz w:val="18"/>
                <w:szCs w:val="18"/>
              </w:rPr>
              <w:t>P</w:t>
            </w:r>
            <w:r>
              <w:rPr>
                <w:rFonts w:ascii="Times New Roman" w:hAnsi="Times New Roman" w:cs="Times New Roman"/>
                <w:bCs/>
                <w:kern w:val="0"/>
                <w:sz w:val="18"/>
                <w:szCs w:val="18"/>
              </w:rPr>
              <w:t>︰</w:t>
            </w:r>
            <w:r>
              <w:rPr>
                <w:rFonts w:ascii="Times New Roman" w:hAnsi="Times New Roman" w:cs="Times New Roman"/>
                <w:bCs/>
                <w:sz w:val="18"/>
                <w:szCs w:val="18"/>
              </w:rPr>
              <w:t>K =1</w:t>
            </w:r>
            <w:r>
              <w:rPr>
                <w:rFonts w:ascii="Times New Roman" w:hAnsi="Times New Roman" w:cs="Times New Roman"/>
                <w:bCs/>
                <w:kern w:val="0"/>
                <w:sz w:val="18"/>
                <w:szCs w:val="18"/>
              </w:rPr>
              <w:t>︰</w:t>
            </w:r>
            <w:r>
              <w:rPr>
                <w:rFonts w:ascii="Times New Roman" w:hAnsi="Times New Roman" w:cs="Times New Roman"/>
                <w:bCs/>
                <w:sz w:val="18"/>
                <w:szCs w:val="18"/>
              </w:rPr>
              <w:t>1.04</w:t>
            </w:r>
            <w:r>
              <w:rPr>
                <w:rFonts w:ascii="Times New Roman" w:hAnsi="Times New Roman" w:cs="Times New Roman"/>
                <w:bCs/>
                <w:kern w:val="0"/>
                <w:sz w:val="18"/>
                <w:szCs w:val="18"/>
              </w:rPr>
              <w:t>︰</w:t>
            </w:r>
            <w:r>
              <w:rPr>
                <w:rFonts w:ascii="Times New Roman" w:hAnsi="Times New Roman" w:cs="Times New Roman"/>
                <w:bCs/>
                <w:sz w:val="18"/>
                <w:szCs w:val="18"/>
              </w:rPr>
              <w:t>1.38。在 3～4 月或秋冬 11 月份结合施肥进行中耕松土，在离树头 1.5 m～2 m 的地方，为避免过量伤根，也可分年度环形轮换进行。</w:t>
            </w:r>
          </w:p>
          <w:p>
            <w:pPr>
              <w:ind w:left="274" w:hanging="273" w:hangingChars="152"/>
              <w:rPr>
                <w:rFonts w:ascii="Times New Roman" w:hAnsi="Times New Roman" w:cs="Times New Roman"/>
                <w:bCs/>
                <w:sz w:val="18"/>
                <w:szCs w:val="18"/>
              </w:rPr>
            </w:pPr>
            <w:r>
              <w:rPr>
                <w:rFonts w:ascii="Times New Roman" w:hAnsi="Times New Roman" w:cs="Times New Roman"/>
                <w:bCs/>
                <w:sz w:val="18"/>
                <w:szCs w:val="18"/>
                <w:shd w:val="clear" w:color="auto" w:fill="FFFFFF"/>
              </w:rPr>
              <w:t>5．收获：</w:t>
            </w:r>
            <w:r>
              <w:rPr>
                <w:rFonts w:ascii="Times New Roman" w:hAnsi="Times New Roman" w:cs="Times New Roman"/>
                <w:bCs/>
                <w:sz w:val="18"/>
                <w:szCs w:val="18"/>
              </w:rPr>
              <w:t>果实呈红橙色或浅红橙色，单个果实易从果穗中脱落时采收，采收使用长柄弯刀、铲刀、机械采果机等。</w:t>
            </w:r>
          </w:p>
        </w:tc>
      </w:tr>
    </w:tbl>
    <w:p>
      <w:pPr>
        <w:spacing w:line="360" w:lineRule="auto"/>
        <w:jc w:val="center"/>
        <w:rPr>
          <w:b/>
          <w:szCs w:val="21"/>
        </w:rPr>
      </w:pPr>
    </w:p>
    <w:p>
      <w:pPr>
        <w:spacing w:line="360" w:lineRule="auto"/>
        <w:jc w:val="center"/>
        <w:outlineLvl w:val="0"/>
        <w:rPr>
          <w:rFonts w:eastAsia="黑体"/>
          <w:b/>
          <w:sz w:val="28"/>
          <w:szCs w:val="28"/>
        </w:rPr>
        <w:sectPr>
          <w:pgSz w:w="11906" w:h="16838"/>
          <w:pgMar w:top="1911" w:right="1134" w:bottom="1134" w:left="1417" w:header="1417" w:footer="1134" w:gutter="0"/>
          <w:cols w:space="0" w:num="1"/>
          <w:docGrid w:type="lines" w:linePitch="317" w:charSpace="0"/>
        </w:sectPr>
      </w:pPr>
      <w:r>
        <w:rPr>
          <w:rFonts w:eastAsia="黑体"/>
          <w:b/>
          <w:sz w:val="28"/>
          <w:szCs w:val="28"/>
        </w:rPr>
        <w:br w:type="page"/>
      </w:r>
    </w:p>
    <w:p>
      <w:pPr>
        <w:spacing w:line="360" w:lineRule="auto"/>
        <w:jc w:val="center"/>
        <w:outlineLvl w:val="0"/>
        <w:rPr>
          <w:rFonts w:ascii="黑体" w:hAnsi="黑体" w:eastAsia="黑体"/>
          <w:bCs/>
          <w:szCs w:val="21"/>
        </w:rPr>
      </w:pPr>
      <w:r>
        <w:rPr>
          <w:rFonts w:ascii="黑体" w:hAnsi="黑体" w:eastAsia="黑体"/>
          <w:bCs/>
          <w:szCs w:val="21"/>
        </w:rPr>
        <w:t>附</w:t>
      </w:r>
      <w:r>
        <w:rPr>
          <w:rFonts w:hint="eastAsia" w:ascii="黑体" w:hAnsi="黑体" w:eastAsia="黑体"/>
          <w:bCs/>
          <w:szCs w:val="21"/>
        </w:rPr>
        <w:t xml:space="preserve"> </w:t>
      </w:r>
      <w:r>
        <w:rPr>
          <w:rFonts w:ascii="黑体" w:hAnsi="黑体" w:eastAsia="黑体"/>
          <w:bCs/>
          <w:szCs w:val="21"/>
        </w:rPr>
        <w:t xml:space="preserve">录 </w:t>
      </w:r>
      <w:r>
        <w:rPr>
          <w:rFonts w:eastAsia="黑体"/>
          <w:bCs/>
          <w:szCs w:val="21"/>
        </w:rPr>
        <w:t>D</w:t>
      </w:r>
    </w:p>
    <w:p>
      <w:pPr>
        <w:spacing w:line="360" w:lineRule="auto"/>
        <w:jc w:val="center"/>
        <w:rPr>
          <w:rFonts w:eastAsia="黑体"/>
          <w:bCs/>
          <w:szCs w:val="21"/>
        </w:rPr>
      </w:pPr>
      <w:r>
        <w:rPr>
          <w:rFonts w:eastAsia="黑体"/>
          <w:bCs/>
          <w:szCs w:val="21"/>
        </w:rPr>
        <w:t>（资料性）</w:t>
      </w:r>
    </w:p>
    <w:p>
      <w:pPr>
        <w:spacing w:line="360" w:lineRule="auto"/>
        <w:jc w:val="center"/>
        <w:rPr>
          <w:rFonts w:eastAsia="黑体"/>
          <w:bCs/>
          <w:szCs w:val="21"/>
        </w:rPr>
      </w:pPr>
      <w:r>
        <w:rPr>
          <w:rFonts w:eastAsia="黑体"/>
          <w:bCs/>
          <w:szCs w:val="21"/>
        </w:rPr>
        <w:t>主要</w:t>
      </w:r>
      <w:r>
        <w:rPr>
          <w:rFonts w:hint="eastAsia" w:eastAsia="黑体"/>
          <w:bCs/>
          <w:szCs w:val="21"/>
        </w:rPr>
        <w:t>果用型</w:t>
      </w:r>
      <w:r>
        <w:rPr>
          <w:rFonts w:eastAsia="黑体"/>
          <w:bCs/>
          <w:szCs w:val="21"/>
        </w:rPr>
        <w:t>油料能源林树种</w:t>
      </w:r>
      <w:r>
        <w:rPr>
          <w:rFonts w:hint="eastAsia" w:eastAsia="黑体"/>
          <w:bCs/>
          <w:szCs w:val="21"/>
        </w:rPr>
        <w:t>常见</w:t>
      </w:r>
      <w:r>
        <w:rPr>
          <w:rFonts w:eastAsia="黑体"/>
          <w:bCs/>
          <w:szCs w:val="21"/>
        </w:rPr>
        <w:t>病虫害防治</w:t>
      </w:r>
      <w:r>
        <w:rPr>
          <w:rFonts w:hint="eastAsia" w:eastAsia="黑体"/>
          <w:bCs/>
          <w:szCs w:val="21"/>
        </w:rPr>
        <w:t>技术</w:t>
      </w:r>
    </w:p>
    <w:p>
      <w:pPr>
        <w:spacing w:line="360" w:lineRule="auto"/>
        <w:ind w:firstLine="420" w:firstLineChars="200"/>
        <w:jc w:val="left"/>
        <w:rPr>
          <w:rFonts w:ascii="黑体" w:hAnsi="黑体" w:eastAsia="黑体"/>
          <w:bCs/>
          <w:szCs w:val="21"/>
        </w:rPr>
      </w:pPr>
      <w:r>
        <w:rPr>
          <w:rFonts w:hint="eastAsia" w:ascii="宋体" w:hAnsi="宋体"/>
          <w:bCs/>
          <w:szCs w:val="21"/>
        </w:rPr>
        <w:t>表</w:t>
      </w:r>
      <w:r>
        <w:rPr>
          <w:rFonts w:hint="eastAsia"/>
          <w:bCs/>
          <w:szCs w:val="21"/>
        </w:rPr>
        <w:t>D</w:t>
      </w:r>
      <w:r>
        <w:rPr>
          <w:bCs/>
          <w:szCs w:val="21"/>
        </w:rPr>
        <w:t>.1</w:t>
      </w:r>
      <w:r>
        <w:rPr>
          <w:rFonts w:hint="eastAsia"/>
          <w:bCs/>
          <w:szCs w:val="21"/>
        </w:rPr>
        <w:t>给出</w:t>
      </w:r>
      <w:r>
        <w:rPr>
          <w:rFonts w:hint="eastAsia" w:ascii="宋体" w:hAnsi="宋体"/>
          <w:bCs/>
          <w:szCs w:val="21"/>
        </w:rPr>
        <w:t xml:space="preserve">了主要果用型油料能源林树种常见病虫害防治技术。 </w:t>
      </w:r>
    </w:p>
    <w:p>
      <w:pPr>
        <w:jc w:val="center"/>
        <w:rPr>
          <w:rFonts w:ascii="宋体" w:hAnsi="宋体" w:eastAsia="宋体" w:cs="宋体"/>
          <w:bCs/>
          <w:szCs w:val="21"/>
        </w:rPr>
      </w:pPr>
      <w:r>
        <w:rPr>
          <w:rFonts w:hint="eastAsia" w:ascii="宋体" w:hAnsi="宋体" w:eastAsia="宋体" w:cs="宋体"/>
          <w:bCs/>
          <w:szCs w:val="21"/>
        </w:rPr>
        <w:t>表D.1 主要果用型油料能源林树种常见病虫害防治技术</w:t>
      </w:r>
    </w:p>
    <w:tbl>
      <w:tblPr>
        <w:tblStyle w:val="29"/>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0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vMerge w:val="restart"/>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麻疯树</w:t>
            </w:r>
          </w:p>
        </w:tc>
        <w:tc>
          <w:tcPr>
            <w:tcW w:w="8400" w:type="dxa"/>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根腐病：（1）加强监测，发现苗圃地中有萎蔫植株，应及时清除焚烧，用石灰对土坑进行消毒以清除病源。（2）用40 %根腐灵1000倍液喷雾或浇灌病株，或用80 %的402乳油1500倍液灌根，每隔10 d左右对苗圃地施药1次，连续3次。</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白粉病：（1）降低栽植密度，加强病害监测。（2）粉锈宁25 %可湿性粉剂800～1000倍液。</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灰霉病：（1）发病初期用多菌灵、代森锰锌或甲基托布津800～1000倍液，每隔10 d左右喷雾1次。（2）发病期用50 %退菌特300～500倍液喷洒防治，连续2～3次。（3）对发病植株，应及时清除并烧毁。（4）适时间苗，使苗圃地通风透光，降低湿度。</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叶斑病：（1）及时清除病叶及病果并进行烧毁，以减少侵染源。（2）加强检疫和监测，发现病株及时防治，可用70 %甲基托布津800～1000倍液，每隔10 d喷1次，连续喷3次。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400"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白粉蚧：（1）注意保护和引放天敌，天敌有瓢虫和草蛉。（2）9月开始，在树干上束草把诱集成虫产卵，入冬后至发芽前取下草把烧毁消灭虫卵。（3）在若虫分散转移期，分泌蜡粉形成介壳之前喷洒噻嗪杀扑磷1000倍液，扑介脱杀扑磷1000倍+噻嗪酮（1包兑水50 kg），或用含油量0.3 %～0.5 %柴油乳剂杀若虫。</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堆蜡粉蚧：各代卵大量孵化时，用40 %氧化乐果乳油1000倍液，或50 %马拉硫磷乳油1000倍液，或25 %亚胺硫磷乳油1000倍液，间隔7 d～10 d喷1次，连续喷2次。</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蛀梢斑螟：（1）6～11月，用30 %乙酰甲胺磷乳油1500～2000倍液林间喷雾。（2）用0.5 %高氯·乙酰甲粉剂，按15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喷粉防治。</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黄宽盾蝽：（1）早春展叶前，集中烧毁枯枝落叶及杂草，烧死越冬卵。（2）40 %氧化乐果2000倍液或吡虫啉2000倍液喷雾。</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长盾蝽：用4.5 %高效氯氰菊酯1000倍、20 %甲氰菊酯乳油1000倍液在低龄幼虫期（8～9月）林间喷雾。</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麻疯树柄细蛾：（1）在越冬蛹羽化前或冬季整形修剪时，扫除落叶，集中烧毁。（2）灯光诱杀。（3）6～8月，用25%阿维灭幼脲悬浮剂1500～2000倍液或5 %高氯甲维盐微浮剂1000～1500倍液喷雾。</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 xml:space="preserve">蓖麻夜蛾：在初孵幼虫期用90 %敌百虫1000倍液、2.5 %溴氯菊酯和2.5 %高效氯氰菊酯2000～3000倍进行喷雾防治。 </w:t>
            </w:r>
          </w:p>
        </w:tc>
      </w:tr>
    </w:tbl>
    <w:p>
      <w:pPr>
        <w:jc w:val="center"/>
      </w:pPr>
    </w:p>
    <w:p>
      <w:pPr>
        <w:jc w:val="center"/>
        <w:rPr>
          <w:rFonts w:eastAsia="黑体"/>
          <w:bCs/>
          <w:szCs w:val="21"/>
        </w:rPr>
        <w:sectPr>
          <w:pgSz w:w="11906" w:h="16838"/>
          <w:pgMar w:top="2477" w:right="1134" w:bottom="1134" w:left="1417" w:header="1417" w:footer="1134" w:gutter="0"/>
          <w:cols w:space="0" w:num="1"/>
          <w:docGrid w:type="lines" w:linePitch="317" w:charSpace="0"/>
        </w:sectPr>
      </w:pPr>
      <w:r>
        <w:rPr>
          <w:rFonts w:eastAsia="黑体"/>
          <w:bCs/>
          <w:szCs w:val="21"/>
        </w:rPr>
        <w:br w:type="page"/>
      </w:r>
    </w:p>
    <w:p>
      <w:pPr>
        <w:jc w:val="center"/>
        <w:rPr>
          <w:rFonts w:eastAsia="黑体"/>
          <w:bCs/>
          <w:szCs w:val="21"/>
        </w:rPr>
      </w:pPr>
      <w:r>
        <w:rPr>
          <w:rFonts w:hint="eastAsia" w:ascii="宋体" w:hAnsi="宋体" w:eastAsia="宋体" w:cs="宋体"/>
          <w:bCs/>
          <w:szCs w:val="21"/>
        </w:rPr>
        <w:t>表D.1 主要果用型油料能源林树种常见病虫害防治技术（续）</w:t>
      </w:r>
    </w:p>
    <w:tbl>
      <w:tblPr>
        <w:tblStyle w:val="29"/>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3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vMerge w:val="restart"/>
            <w:shd w:val="clear" w:color="auto" w:fill="auto"/>
            <w:noWrap/>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文冠果</w:t>
            </w:r>
          </w:p>
        </w:tc>
        <w:tc>
          <w:tcPr>
            <w:tcW w:w="8381"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立枯病：75 %百菌清可湿性粉剂600倍液，或5 %井岗霉素水剂1500倍液，或20%甲基立枯磷乳油1200倍液，进行喷雾。苗床上出现病苗，应及时喷1</w:t>
            </w:r>
            <w:r>
              <w:rPr>
                <w:rFonts w:ascii="Times New Roman" w:hAnsi="Times New Roman" w:cs="Times New Roman"/>
                <w:bCs/>
                <w:kern w:val="0"/>
                <w:sz w:val="18"/>
                <w:szCs w:val="18"/>
              </w:rPr>
              <w:t>︰</w:t>
            </w:r>
            <w:r>
              <w:rPr>
                <w:rFonts w:ascii="Times New Roman" w:hAnsi="Times New Roman" w:cs="Times New Roman"/>
                <w:kern w:val="0"/>
                <w:sz w:val="18"/>
                <w:szCs w:val="18"/>
              </w:rPr>
              <w:t>1</w:t>
            </w:r>
            <w:r>
              <w:rPr>
                <w:rFonts w:ascii="Times New Roman" w:hAnsi="Times New Roman" w:cs="Times New Roman"/>
                <w:bCs/>
                <w:kern w:val="0"/>
                <w:sz w:val="18"/>
                <w:szCs w:val="18"/>
              </w:rPr>
              <w:t>︰</w:t>
            </w:r>
            <w:r>
              <w:rPr>
                <w:rFonts w:ascii="Times New Roman" w:hAnsi="Times New Roman" w:cs="Times New Roman"/>
                <w:kern w:val="0"/>
                <w:sz w:val="18"/>
                <w:szCs w:val="18"/>
              </w:rPr>
              <w:t>120～170的波尔多液。</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煤污病：（1）苗期加强管理，及时中耕除草。（2）多菌灵800倍液，连续喷布2～3次，间隔时间为7 d～10 d，早春喷洒50 %乐果乳油2000倍液，每隔7 d喷射1次，连续喷射3次。</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根腐病：播种前，种子用种子重量0.3 %的退菌特或种子重量0.1 %粉锈宁拌种，或用80 %乙蒜素2000倍液浸种5 h。插根基部可用同样浓度药液浸1 h后扦插。发病时，用40 %根腐宁1000倍液喷雾或浇灌，或80 %的乙蒜素1500倍液灌根。</w:t>
            </w:r>
          </w:p>
          <w:p>
            <w:pPr>
              <w:widowControl/>
              <w:ind w:left="-953" w:leftChars="-454" w:firstLine="954" w:firstLineChars="530"/>
              <w:jc w:val="center"/>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茎腐病：（1）发病率高的苗圃进行土壤消毒；夏季高温时在苗床上遮荫，起苗、栽植、抚育过程中避免苗木机械损伤。（2）50 %多菌灵400倍液浸泡苗干茎基部和根部10 min后栽植。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381"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虱：（1）清除林地落叶杂草，消灭越冬成虫。早春或初发期喷布5波美度石硫合剂、2.5 %溴氢酯乳油2500倍液或25 %功夫乳油2000倍液防治。（2）用10 %吡虫啉水分三颗粒剂WG15000倍液、3 %叮虫脒乳油EC2000倍液、1.8 %阿维菌素乳油EC3000倍液等药剂喷布叶面及树体。</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黑绒鳃金龟：（1）杀虫灯诱杀。（2）人工捕捉。（3）用50 %辛硫磷乳油，3.75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，制成土颗粒剂或毒水，毒杀幼虫；早春越冬成虫出土前，在树冠下撒毒土（40 %二嗪农乳油9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）毒杀，成虫期可用80 %敌敌畏乳油100倍或50 %杀螟松乳油1000倍喷叶；成虫爆发时树上喷洒2.5%的溴氰菊酯2000倍液，喷药时间以早上6时～8时，晚上7时以后为宜。</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根结线虫：（1）冬季松土晒根，深挖病株树盘下根系附近土壤，剪除并将及时烧毁病根。（2）在树盘内每隔20 cm～30 cm处开一穴，将10 %二溴氯丙烷颗粒剂每株200 g或3 %氯唑磷颗粒剂每株200 g或10 %硫线磷颗粒剂每株200 g放在15 cm～20 cm深处，施药后及时覆土并灌水。或0.5 %阿维菌素颗粒剂75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，均匀施于沟中覆土踏实，用99 %氯化苦原液按5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处理土壤。</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咖啡木蠧蛾：用吡虫啉、乙酰甲胺磷等内吸式药物进行干根基部注射防治。</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蚜虫：（1）清除杂草：入冬前，将蚜虫寄居或虫卵潜伏过的残花、病枯枝叶彻底清除集中烧毁。（2）春秋季蚜虫危害期，可采用1</w:t>
            </w:r>
            <w:r>
              <w:rPr>
                <w:rFonts w:ascii="Times New Roman" w:hAnsi="Times New Roman" w:cs="Times New Roman"/>
                <w:bCs/>
                <w:kern w:val="0"/>
                <w:sz w:val="18"/>
                <w:szCs w:val="18"/>
              </w:rPr>
              <w:t>︰</w:t>
            </w:r>
            <w:r>
              <w:rPr>
                <w:rFonts w:ascii="Times New Roman" w:hAnsi="Times New Roman" w:cs="Times New Roman"/>
                <w:kern w:val="0"/>
                <w:sz w:val="18"/>
                <w:szCs w:val="18"/>
              </w:rPr>
              <w:t>15比例配制烟叶水，泡制4 h后喷洒，用1</w:t>
            </w:r>
            <w:r>
              <w:rPr>
                <w:rFonts w:ascii="Times New Roman" w:hAnsi="Times New Roman" w:cs="Times New Roman"/>
                <w:bCs/>
                <w:kern w:val="0"/>
                <w:sz w:val="18"/>
                <w:szCs w:val="18"/>
              </w:rPr>
              <w:t>︰</w:t>
            </w:r>
            <w:r>
              <w:rPr>
                <w:rFonts w:ascii="Times New Roman" w:hAnsi="Times New Roman" w:cs="Times New Roman"/>
                <w:kern w:val="0"/>
                <w:sz w:val="18"/>
                <w:szCs w:val="18"/>
              </w:rPr>
              <w:t>4</w:t>
            </w:r>
            <w:r>
              <w:rPr>
                <w:rFonts w:ascii="Times New Roman" w:hAnsi="Times New Roman" w:cs="Times New Roman"/>
                <w:bCs/>
                <w:kern w:val="0"/>
                <w:sz w:val="18"/>
                <w:szCs w:val="18"/>
              </w:rPr>
              <w:t>︰</w:t>
            </w:r>
            <w:r>
              <w:rPr>
                <w:rFonts w:ascii="Times New Roman" w:hAnsi="Times New Roman" w:cs="Times New Roman"/>
                <w:kern w:val="0"/>
                <w:sz w:val="18"/>
                <w:szCs w:val="18"/>
              </w:rPr>
              <w:t>400的比例配制洗衣粉、尿素、水的溶液喷洒，用菊脂类农药2000～3000倍液喷洒。</w:t>
            </w:r>
          </w:p>
        </w:tc>
      </w:tr>
    </w:tbl>
    <w:p>
      <w:pPr>
        <w:jc w:val="center"/>
        <w:rPr>
          <w:rFonts w:eastAsia="黑体"/>
          <w:bCs/>
          <w:szCs w:val="21"/>
        </w:rPr>
      </w:pPr>
    </w:p>
    <w:p>
      <w:pPr>
        <w:jc w:val="center"/>
        <w:rPr>
          <w:rFonts w:eastAsia="黑体"/>
          <w:bCs/>
          <w:szCs w:val="21"/>
        </w:rPr>
      </w:pPr>
      <w:r>
        <w:rPr>
          <w:rFonts w:eastAsia="黑体"/>
          <w:bCs/>
          <w:szCs w:val="21"/>
        </w:rPr>
        <w:br w:type="page"/>
      </w:r>
      <w:r>
        <w:rPr>
          <w:rFonts w:hint="eastAsia" w:ascii="宋体" w:hAnsi="宋体" w:eastAsia="宋体" w:cs="宋体"/>
          <w:bCs/>
          <w:szCs w:val="21"/>
        </w:rPr>
        <w:t>表D.1 主要果用型油料能源林树种常见病虫害防治技术（续）</w:t>
      </w:r>
    </w:p>
    <w:tbl>
      <w:tblPr>
        <w:tblStyle w:val="29"/>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vMerge w:val="restart"/>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黄连木</w:t>
            </w:r>
          </w:p>
        </w:tc>
        <w:tc>
          <w:tcPr>
            <w:tcW w:w="8470"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炭疽病：（1）加强栽培管理，增施有机肥斜，科学修剪，注意林地排水。（2）清除树上、树下病僵果并销毁，生长季发现病果及时摘除。（3）5月中下旬开始树冠喷药防治3次，15 d～20 d一次，用50 %多菌灵可湿性粉800～1000倍液、70 %代森锰锌800～1000倍液或1</w:t>
            </w:r>
            <w:r>
              <w:rPr>
                <w:rFonts w:ascii="Times New Roman" w:hAnsi="Times New Roman" w:cs="Times New Roman"/>
                <w:bCs/>
                <w:kern w:val="0"/>
                <w:sz w:val="18"/>
                <w:szCs w:val="18"/>
              </w:rPr>
              <w:t>︰</w:t>
            </w:r>
            <w:r>
              <w:rPr>
                <w:rFonts w:ascii="Times New Roman" w:hAnsi="Times New Roman" w:cs="Times New Roman"/>
                <w:kern w:val="0"/>
                <w:sz w:val="18"/>
                <w:szCs w:val="18"/>
              </w:rPr>
              <w:t>2</w:t>
            </w:r>
            <w:r>
              <w:rPr>
                <w:rFonts w:ascii="Times New Roman" w:hAnsi="Times New Roman" w:cs="Times New Roman"/>
                <w:bCs/>
                <w:kern w:val="0"/>
                <w:sz w:val="18"/>
                <w:szCs w:val="18"/>
              </w:rPr>
              <w:t>︰</w:t>
            </w:r>
            <w:r>
              <w:rPr>
                <w:rFonts w:ascii="Times New Roman" w:hAnsi="Times New Roman" w:cs="Times New Roman"/>
                <w:kern w:val="0"/>
                <w:sz w:val="18"/>
                <w:szCs w:val="18"/>
              </w:rPr>
              <w:t>200倍波尔多液防治。</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立枯病：（1）进行土壤处理。用50 %多菌灵可湿性粉剂每平方米苗床8 g ～10 g，加细土5000 g，混合均匀，作为播种层。（2）用75%百菌清可湿性粉剂600倍液，或70 %甲基托布津800倍液喷雾，间隔7 d ～10 d，视病情连防2～3次。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470"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种子小蜂：（1）地面喷药：40 %氧化乐果800～1000倍，25 %对硫磷微胶囊剂300～500倍，90 %敌百虫500～800倍。（2）树冠喷雾：5月上中旬和6月上旬各喷1次，可用40 %乐果乳油1000倍液，80 %敌敌畏乳油1500倍液或20 %灭扫利乳油4000～5000倍液常规喷雾，喷药间隔7 d～8 d。（3）熏蒸杀虫：种子采集后，在种子库内用磷化铝、溴甲烷、氯化苦熏蒸处理，用药量为40 g/m</w:t>
            </w:r>
            <w:r>
              <w:rPr>
                <w:rFonts w:ascii="Times New Roman" w:hAnsi="Times New Roman" w:cs="Times New Roman"/>
                <w:kern w:val="0"/>
                <w:sz w:val="18"/>
                <w:szCs w:val="18"/>
                <w:vertAlign w:val="superscript"/>
              </w:rPr>
              <w:t>3</w:t>
            </w:r>
            <w:r>
              <w:rPr>
                <w:rFonts w:ascii="Times New Roman" w:hAnsi="Times New Roman" w:cs="Times New Roman"/>
                <w:kern w:val="0"/>
                <w:sz w:val="18"/>
                <w:szCs w:val="18"/>
              </w:rPr>
              <w:t>，常温下密闭3 d。</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橑尺蠖：（1）用10 %的氰菊酯1000～2000倍液、5 %来福灵乳剂3000倍液或10 %灭百可3000倍液进行喷雾。（2）秋季结冻前和春季解冻后进行人工挖蛹。（3）5～7月成虫羽化期，夜间用黑光灯或火堆诱杀成虫或早晨人工捕杀成虫。（4）用赤眼蜂、苏云金杆菌等防治。</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梳齿毛根蚜：（1）春季发芽前，用5波美度石硫合剂或60 %柴油乳剂10倍液高压均匀喷1次树体及周围的禾本科植物。（2）生长期分别于6月中旬和9月中旬用50 %辛硫磷乳油、40 %氧化乐果乳油各1000倍液，20 %敌杀死乳油1500倍液进行树体全面喷雾。（3）6月上旬至9月中旬人工除虫瘿。（4）生长季树冠内悬挂黄色粘虫板诱杀。</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地老虎：（1）采用黑光灯诱杀成虫。（2）清晨在被害苗株周围捕捉潜伏幼虫，持续10 d～15 d。（3）在成虫发生期，配制糖醋液加入适量药剂诱杀成虫；麦麸20 kg～25 kg，炒香后拌入40 %乙酰甲胺磷乳油0.5 kg，然后按每亩4 kg～5 kg撒入幼苗周围。（4）10 %氯氰菊酯乳油1200倍液，或48 %毒死蜱乳油2000倍液，或2.5 %溴氯菊酯乳油1500倍液地表喷雾。</w:t>
            </w:r>
          </w:p>
        </w:tc>
      </w:tr>
    </w:tbl>
    <w:p>
      <w:pPr>
        <w:jc w:val="center"/>
        <w:rPr>
          <w:rFonts w:eastAsia="黑体"/>
          <w:bCs/>
          <w:szCs w:val="21"/>
        </w:rPr>
      </w:pPr>
    </w:p>
    <w:p>
      <w:pPr>
        <w:jc w:val="center"/>
        <w:rPr>
          <w:rFonts w:ascii="宋体" w:hAnsi="宋体" w:eastAsia="宋体" w:cs="宋体"/>
          <w:bCs/>
          <w:szCs w:val="21"/>
        </w:rPr>
      </w:pPr>
      <w:r>
        <w:rPr>
          <w:rFonts w:eastAsia="黑体"/>
          <w:bCs/>
          <w:szCs w:val="21"/>
        </w:rPr>
        <w:br w:type="page"/>
      </w:r>
      <w:r>
        <w:rPr>
          <w:rFonts w:hint="eastAsia" w:ascii="宋体" w:hAnsi="宋体" w:eastAsia="宋体" w:cs="宋体"/>
          <w:bCs/>
          <w:szCs w:val="21"/>
        </w:rPr>
        <w:t>表D.1 主要果用型油料能源林树种常见病虫害防治技术（续）</w:t>
      </w:r>
    </w:p>
    <w:tbl>
      <w:tblPr>
        <w:tblStyle w:val="29"/>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2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vMerge w:val="restart"/>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光皮树</w:t>
            </w:r>
          </w:p>
        </w:tc>
        <w:tc>
          <w:tcPr>
            <w:tcW w:w="8426"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茎腐病：常用恶霉灵（30 %水剂）、甲基托布津（70 %可湿性粉剂）、多菌灵（50 %可湿性粉剂）等，结合水肥管理交替使用，1000倍液，15 d喷洒一次，连续4～6次。</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烟煤病：介壳虫的伴生病。采取合理修剪、提高透光度、保护瓢虫等方法预防。发病初期可用0.3 %～0.5 %波尔多液，或70 %甲基托布津可湿性粉剂与75 %百菌清可湿性粉剂，按1</w:t>
            </w:r>
            <w:r>
              <w:rPr>
                <w:rFonts w:ascii="Times New Roman" w:hAnsi="Times New Roman" w:cs="Times New Roman"/>
                <w:bCs/>
                <w:kern w:val="0"/>
                <w:sz w:val="18"/>
                <w:szCs w:val="18"/>
              </w:rPr>
              <w:t>︰</w:t>
            </w:r>
            <w:r>
              <w:rPr>
                <w:rFonts w:ascii="Times New Roman" w:hAnsi="Times New Roman" w:cs="Times New Roman"/>
                <w:kern w:val="0"/>
                <w:sz w:val="18"/>
                <w:szCs w:val="18"/>
              </w:rPr>
              <w:t>1混合后的600～800倍液，于6月中旬、7月上旬、8月上旬等多雨时段各喷洒1次。也可用40 %乐果乳剂1000～2000倍液喷杀介壳虫若虫。冬季或早春可用可喷洒10～20倍的松脂合剂及50 %三硫磷乳剂1500～2000倍液以杀死介壳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426"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介壳虫：按产品说明喷施2 %噻虫啉微囊悬浮剂、3 %高效氯氰菊酯微囊悬浮剂、1.2 %阿维菌素微囊悬浮剂、5 %吡虫啉乳油等。</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吉丁虫：（1）在成虫羽化前，及时清除枯枝、死树或被害枝条。进行树干涂白，防止产卵。（2）成虫羽化期向树冠上和干、枝上喷1500～2000倍的20 %菊杀乳油等。（3）幼虫初在树皮内为害时，向被害处涂煤油溴氰菊酯混合液（1</w:t>
            </w:r>
            <w:r>
              <w:rPr>
                <w:rFonts w:ascii="Times New Roman" w:hAnsi="Times New Roman" w:cs="Times New Roman"/>
                <w:bCs/>
                <w:kern w:val="0"/>
                <w:sz w:val="18"/>
                <w:szCs w:val="18"/>
              </w:rPr>
              <w:t>︰</w:t>
            </w:r>
            <w:r>
              <w:rPr>
                <w:rFonts w:ascii="Times New Roman" w:hAnsi="Times New Roman" w:cs="Times New Roman"/>
                <w:kern w:val="0"/>
                <w:sz w:val="18"/>
                <w:szCs w:val="18"/>
              </w:rPr>
              <w:t>1混合）。</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金龟子、浅翅凤蛾、斑蛾：（1）人工收集地下落叶或翻耕土壤，以减少越冬蛹的基数，成虫羽化盛期应用杀虫灯（黑光灯）诱杀等措施，降低下一代的虫口密度。（2）苗期可用40%氧化乐果600 ～ 800 倍液，在6 ～ 9月苗木正常生长阶段每隔10～15 d喷洒1次。鳞翅目食叶害虫在8 月上旬至8 月中旬成虫羽化期，用4.5 %高效氯氰菊酯乳油4 000 ～ 5000倍液、20 %杀灭菊酯3000 ～4000倍液或50 %辛硫磷乳油1000～1500倍液进行树冠喷洒。</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木蠹蛾、钻心虫：（1）捕捉或用农药喷杀啃食树皮的成虫。（2）用锤子锤产卵的刻槽，以消灭卵块。（3）在苗干充分木质化后，用甲胺磷与过筛黄心土调制的药泥涂干，若发现有蛀孔，将药泥塞入虫孔，再用透明胶将虫孔封住。</w:t>
            </w:r>
          </w:p>
        </w:tc>
      </w:tr>
    </w:tbl>
    <w:p>
      <w:pPr>
        <w:jc w:val="center"/>
        <w:rPr>
          <w:rFonts w:eastAsia="黑体"/>
          <w:bCs/>
          <w:szCs w:val="21"/>
        </w:rPr>
      </w:pPr>
    </w:p>
    <w:p>
      <w:pPr>
        <w:jc w:val="center"/>
        <w:rPr>
          <w:rFonts w:eastAsia="黑体"/>
          <w:bCs/>
          <w:szCs w:val="21"/>
        </w:rPr>
      </w:pPr>
      <w:r>
        <w:rPr>
          <w:rFonts w:eastAsia="黑体"/>
          <w:bCs/>
          <w:szCs w:val="21"/>
        </w:rPr>
        <w:br w:type="page"/>
      </w:r>
      <w:r>
        <w:rPr>
          <w:rFonts w:hint="eastAsia" w:asciiTheme="minorEastAsia" w:hAnsiTheme="minorEastAsia" w:cstheme="minorEastAsia"/>
          <w:bCs/>
          <w:szCs w:val="21"/>
        </w:rPr>
        <w:t>表D.1 主要果用型油料能源林树种常见病虫害防治技术（续）</w:t>
      </w:r>
    </w:p>
    <w:tbl>
      <w:tblPr>
        <w:tblStyle w:val="29"/>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vMerge w:val="restart"/>
            <w:shd w:val="clear" w:color="auto" w:fill="auto"/>
            <w:noWrap/>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无患子</w:t>
            </w:r>
          </w:p>
        </w:tc>
        <w:tc>
          <w:tcPr>
            <w:tcW w:w="8450"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溃疡病：（1）用80 %乙蒜素乳油200倍液在病斑处涂抹。（2）75 %百菌清可湿性粉剂300～400倍液喷在茎杆的重点病斑处，连喷两次，每次间隔5 d～7 d。（3）喷施20 %龙克菌500～600倍，或37 %加瑞农600～800倍。</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炭疽病：（1）结合冬季清园剪除烧毁病枝叶；增施有机肥、磷钾肥，注意及时排灌，适当修剪、改善园地通风透光条件。（2）发病期喷30 %爱苗5000～6000倍液，或80 %代森锰锌可湿性粉剂600倍液防治，或25 %施保克1000倍，或0.3 %～0.5 %等量式波尔多液。</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根腐病：宜在发病初期喷100倍波尔多液，或使用50%多菌灵可湿性粉剂600倍液灌根，每隔10d～15d灌根一次，直至病害消除。</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立枯病、灰霉病：3月初用甲基托布津600倍液喷雾7d一次，连续2～3次。</w:t>
            </w:r>
          </w:p>
          <w:p>
            <w:pPr>
              <w:widowControl/>
              <w:ind w:left="320" w:hanging="320" w:hangingChars="178"/>
              <w:jc w:val="left"/>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煤烟病：（1）适当修剪、改善果园通风透光条件。（2）喷施95 %机油乳剂150～200倍液或松脂合剂8～10倍液。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450"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天牛：（1）用细铅丝从排粪孔沿着孔道刺杀幼虫。（2）注射器向孔内注射40 %氧化乐果乳剂300～500倍液。</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蛴螬：在种子发芽期，结合整地将辛硫酸颗粒药剂60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均匀拌入土壤。</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灰象甲：在成虫发生盛期于傍晚在树干周围地面喷施50 %辛硫磷乳剂300倍液，或48 %天达毒死蜱800倍液，或撒辛硫磷缓释剂或40 %乙酰甲胺磷乳油，或50 %马拉硫磷乳油，每株大树用药15 g ～20 g。施药后耙匀土表或覆土，毒杀羽化出土的成虫。</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介壳虫：用48 %乐斯本乳油（毒死蜱）1000倍液，或50 %杀螟松乳油1000倍液，或50 %马拉松乳油1000倍液或50 %辛硫磷乳油1000倍液，或10 %吡虫啉5000倍液等药剂喷雾防治。喷药1～2次，间隔5 d ～7 d。</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木蠹蛾：（1）2.5 %溴氰菊酯乳油1500～2000倍液、或3 %啶虫脒可湿性粉剂1500～2000倍液或10 %吡虫啉可湿性粉剂1000～1500倍液。</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刺蛾：（1）结合冬季修剪，剪除在枝上越冬虫茧；或挖除土中越冬虫茧。（2）幼虫发生期喷施每克孢子含量100亿以上青虫菌1斤兑水1000倍液；或90 %晶体敌百虫1000～1500倍液；或青虫菌1斤加90 %晶体敌百虫200 g兑水1000倍的菌药混合液。或幼虫期可喷撒白僵菌或森得保生物粉剂（用量7.5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～15 kg/hm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w:t>
            </w:r>
          </w:p>
        </w:tc>
      </w:tr>
    </w:tbl>
    <w:p>
      <w:pPr>
        <w:jc w:val="center"/>
        <w:rPr>
          <w:rFonts w:eastAsia="黑体"/>
          <w:bCs/>
          <w:szCs w:val="21"/>
        </w:rPr>
      </w:pPr>
    </w:p>
    <w:p>
      <w:pPr>
        <w:jc w:val="center"/>
        <w:rPr>
          <w:rFonts w:eastAsia="黑体"/>
          <w:bCs/>
          <w:szCs w:val="21"/>
        </w:rPr>
      </w:pPr>
      <w:r>
        <w:rPr>
          <w:rFonts w:eastAsia="黑体"/>
          <w:bCs/>
          <w:szCs w:val="21"/>
        </w:rPr>
        <w:br w:type="page"/>
      </w:r>
      <w:r>
        <w:rPr>
          <w:rFonts w:hint="eastAsia" w:asciiTheme="minorEastAsia" w:hAnsiTheme="minorEastAsia" w:cstheme="minorEastAsia"/>
          <w:bCs/>
          <w:szCs w:val="21"/>
        </w:rPr>
        <w:t>表D.1 主要果用型油料能源林树种常见病虫害防治技术（续）</w:t>
      </w:r>
    </w:p>
    <w:tbl>
      <w:tblPr>
        <w:tblStyle w:val="29"/>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845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病虫害及防治技术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846" w:type="dxa"/>
            <w:vMerge w:val="restart"/>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油棕</w:t>
            </w:r>
          </w:p>
        </w:tc>
        <w:tc>
          <w:tcPr>
            <w:tcW w:w="8456"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病害：</w:t>
            </w:r>
          </w:p>
          <w:p>
            <w:pPr>
              <w:widowControl/>
              <w:ind w:left="282" w:leftChars="11" w:hanging="259" w:hangingChars="144"/>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茎基腐病：（1）清除田间病残体。（2）用有机硫熏蒸剂消毒土壤。（3）使用无菌土壤育苗。（4）改良土壤，增施钙肥。（5）发病初期用多菌灵、百菌清、70%甲基硫菌灵可湿性粉剂500倍液涂抹苗木根茎部，或淋灌苗木茎基周围基质，10 d～15 d一次，连续2～3次。</w:t>
            </w:r>
          </w:p>
          <w:p>
            <w:pPr>
              <w:widowControl/>
              <w:ind w:left="282" w:leftChars="11" w:hanging="259" w:hangingChars="144"/>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果腐病：（1）保证水肥供应。（2）防止过度割叶，保留较多的有效叶片。（3）台风雨季来临前用1 %波尔多液喷施树冠。</w:t>
            </w:r>
          </w:p>
          <w:p>
            <w:pPr>
              <w:widowControl/>
              <w:ind w:left="282" w:leftChars="11" w:hanging="259" w:hangingChars="144"/>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叶枯病：80 %代森锰锌可湿性粉剂800倍液或25 %多菌灵可湿性粉剂500倍液进行喷雾防治。</w:t>
            </w:r>
          </w:p>
          <w:p>
            <w:pPr>
              <w:widowControl/>
              <w:ind w:left="282" w:leftChars="11" w:hanging="259" w:hangingChars="144"/>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 xml:space="preserve">． </w:t>
            </w:r>
            <w:r>
              <w:rPr>
                <w:rFonts w:ascii="Times New Roman" w:hAnsi="Times New Roman" w:cs="Times New Roman"/>
                <w:kern w:val="0"/>
                <w:sz w:val="18"/>
                <w:szCs w:val="18"/>
              </w:rPr>
              <w:t>炭疽病：50 %托布津可湿性粉剂1000倍或80 %代森锰锌可湿性粉剂400～600倍喷2～3次，每隔7 d～10 d喷一次。</w:t>
            </w:r>
          </w:p>
          <w:p>
            <w:pPr>
              <w:widowControl/>
              <w:ind w:left="282" w:leftChars="11" w:hanging="259" w:hangingChars="144"/>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叶斑病：75 %百菌清可湿性粉剂800倍液或80 %代森锰锌可湿性粉剂400～800倍液喷3～4次。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6"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8456" w:type="dxa"/>
            <w:shd w:val="clear" w:color="auto" w:fill="auto"/>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虫害：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天牛、刺蛾：2.5 %溴氰菊酯微乳剂2000倍液喷雾防治。</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红棕象甲：用3 %甲氨基阿给菌素苯甲酸盐乳油500倍液喷2～3次；或3 %啶虫脒乳油、4.5 %高效氯氢菊酯乳油、30 %三唑磷乳油喷3次；或用红棕象甲信息素引芯及配套的诱捕器，实施田间诱捕。</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二疣犀甲：（1）诱捕器诱杀或利用杆状病毒、绿僵菌、白僵菌和大红纹食虫蝽等天敌资源来捕食。（2）将甲敌粉和泥沙以1</w:t>
            </w:r>
            <w:r>
              <w:rPr>
                <w:rFonts w:ascii="Times New Roman" w:hAnsi="Times New Roman" w:cs="Times New Roman"/>
                <w:bCs/>
                <w:kern w:val="0"/>
                <w:sz w:val="18"/>
                <w:szCs w:val="18"/>
              </w:rPr>
              <w:t>︰</w:t>
            </w:r>
            <w:r>
              <w:rPr>
                <w:rFonts w:ascii="Times New Roman" w:hAnsi="Times New Roman" w:cs="Times New Roman"/>
                <w:kern w:val="0"/>
                <w:sz w:val="18"/>
                <w:szCs w:val="18"/>
              </w:rPr>
              <w:t>20的比例混合后，撒施到定植的幼苗心叶，每株50 g左右。</w:t>
            </w:r>
          </w:p>
          <w:p>
            <w:pPr>
              <w:widowControl/>
              <w:ind w:left="283" w:hanging="282" w:hangingChars="157"/>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Times New Roman" w:cs="Times New Roman"/>
                <w:bCs/>
                <w:sz w:val="18"/>
                <w:szCs w:val="18"/>
                <w:shd w:val="clear" w:color="auto" w:fill="FFFFFF"/>
              </w:rPr>
              <w:t>．</w:t>
            </w:r>
            <w:r>
              <w:rPr>
                <w:rFonts w:ascii="Times New Roman" w:hAnsi="Times New Roman" w:cs="Times New Roman"/>
                <w:kern w:val="0"/>
                <w:sz w:val="18"/>
                <w:szCs w:val="18"/>
              </w:rPr>
              <w:t>红脉穗螟：稀释100倍苏云金杆菌乳剂加3 %苦楝油液喷雾3～4次，或2.5 %敌杀死4000倍液喷雾乳剂喷2～3次，或20 %杀灭菊酯乳油药剂8000～10000倍液喷3～4次。</w:t>
            </w:r>
          </w:p>
        </w:tc>
      </w:tr>
    </w:tbl>
    <w:p>
      <w:pPr>
        <w:pStyle w:val="83"/>
        <w:spacing w:before="567" w:after="0" w:line="360" w:lineRule="auto"/>
      </w:pPr>
      <w:r>
        <w:rPr>
          <w:rFonts w:hint="eastAsia"/>
        </w:rPr>
        <w:t>参</w:t>
      </w:r>
      <w:r>
        <w:t> </w:t>
      </w:r>
      <w:r>
        <w:rPr>
          <w:rFonts w:hint="eastAsia"/>
        </w:rPr>
        <w:t>考</w:t>
      </w:r>
      <w:r>
        <w:t> </w:t>
      </w:r>
      <w:r>
        <w:rPr>
          <w:rFonts w:hint="eastAsia"/>
        </w:rPr>
        <w:t>文</w:t>
      </w:r>
      <w:r>
        <w:t> </w:t>
      </w:r>
      <w:r>
        <w:rPr>
          <w:rFonts w:hint="eastAsia"/>
        </w:rPr>
        <w:t>献</w:t>
      </w:r>
    </w:p>
    <w:p>
      <w:pPr>
        <w:pStyle w:val="21"/>
        <w:spacing w:line="360" w:lineRule="auto"/>
        <w:rPr>
          <w:rFonts w:ascii="Times New Roman"/>
        </w:rPr>
      </w:pPr>
      <w:r>
        <w:rPr>
          <w:rFonts w:ascii="Times New Roman"/>
        </w:rPr>
        <w:t>[</w:t>
      </w:r>
      <w:r>
        <w:rPr>
          <w:rFonts w:hint="eastAsia" w:ascii="Times New Roman"/>
        </w:rPr>
        <w:t>1</w:t>
      </w:r>
      <w:r>
        <w:rPr>
          <w:rFonts w:ascii="Times New Roman"/>
        </w:rPr>
        <w:t>] LY/T 1828—2009</w:t>
      </w:r>
      <w:r>
        <w:rPr>
          <w:rFonts w:hint="eastAsia" w:ascii="Times New Roman"/>
        </w:rPr>
        <w:t>《</w:t>
      </w:r>
      <w:r>
        <w:rPr>
          <w:rFonts w:ascii="Times New Roman"/>
        </w:rPr>
        <w:t>黄连木栽培技术规程</w:t>
      </w:r>
      <w:r>
        <w:rPr>
          <w:rFonts w:hint="eastAsia" w:ascii="Times New Roman"/>
        </w:rPr>
        <w:t>》</w:t>
      </w:r>
    </w:p>
    <w:p>
      <w:pPr>
        <w:pStyle w:val="21"/>
        <w:spacing w:line="360" w:lineRule="auto"/>
        <w:rPr>
          <w:rFonts w:ascii="Times New Roman"/>
        </w:rPr>
      </w:pPr>
      <w:r>
        <w:rPr>
          <w:rFonts w:ascii="Times New Roman"/>
        </w:rPr>
        <w:t>[2] LY/T 1837—2009</w:t>
      </w:r>
      <w:r>
        <w:rPr>
          <w:rFonts w:hint="eastAsia" w:ascii="Times New Roman"/>
        </w:rPr>
        <w:t>《</w:t>
      </w:r>
      <w:r>
        <w:rPr>
          <w:rFonts w:ascii="Times New Roman"/>
        </w:rPr>
        <w:t>光皮树培育技术规程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3</w:t>
      </w:r>
      <w:r>
        <w:rPr>
          <w:rFonts w:ascii="Times New Roman"/>
        </w:rPr>
        <w:t>] LY/T 1939—2011</w:t>
      </w:r>
      <w:r>
        <w:rPr>
          <w:rFonts w:hint="eastAsia" w:ascii="Times New Roman"/>
        </w:rPr>
        <w:t>《</w:t>
      </w:r>
      <w:r>
        <w:rPr>
          <w:rFonts w:ascii="Times New Roman"/>
        </w:rPr>
        <w:t>黄连木育苗技术规程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4</w:t>
      </w:r>
      <w:r>
        <w:rPr>
          <w:rFonts w:ascii="Times New Roman"/>
        </w:rPr>
        <w:t>] LY/T 1943—2011</w:t>
      </w:r>
      <w:r>
        <w:rPr>
          <w:rFonts w:hint="eastAsia" w:ascii="Times New Roman"/>
        </w:rPr>
        <w:t>《</w:t>
      </w:r>
      <w:r>
        <w:rPr>
          <w:rFonts w:ascii="Times New Roman"/>
        </w:rPr>
        <w:t>文冠果栽培技术规程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5</w:t>
      </w:r>
      <w:r>
        <w:rPr>
          <w:rFonts w:ascii="Times New Roman"/>
        </w:rPr>
        <w:t>] LY/T 2031—2012</w:t>
      </w:r>
      <w:r>
        <w:rPr>
          <w:rFonts w:hint="eastAsia" w:ascii="Times New Roman"/>
        </w:rPr>
        <w:t>《</w:t>
      </w:r>
      <w:r>
        <w:rPr>
          <w:rFonts w:ascii="Times New Roman"/>
        </w:rPr>
        <w:t>麻疯树嫁接技术规程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6</w:t>
      </w:r>
      <w:r>
        <w:rPr>
          <w:rFonts w:ascii="Times New Roman"/>
        </w:rPr>
        <w:t>] LY/T 2293—2014</w:t>
      </w:r>
      <w:r>
        <w:rPr>
          <w:rFonts w:hint="eastAsia" w:ascii="Times New Roman"/>
        </w:rPr>
        <w:t>《</w:t>
      </w:r>
      <w:r>
        <w:rPr>
          <w:rFonts w:ascii="Times New Roman"/>
        </w:rPr>
        <w:t>光皮树育苗技术规程</w:t>
      </w:r>
      <w:r>
        <w:rPr>
          <w:rFonts w:hint="eastAsia" w:ascii="Times New Roman"/>
        </w:rPr>
        <w:t>》</w:t>
      </w:r>
      <w:r>
        <w:rPr>
          <w:rFonts w:ascii="Times New Roman"/>
        </w:rPr>
        <w:t xml:space="preserve"> </w:t>
      </w:r>
    </w:p>
    <w:p>
      <w:pPr>
        <w:pStyle w:val="21"/>
        <w:spacing w:line="360" w:lineRule="auto"/>
        <w:rPr>
          <w:rFonts w:ascii="Times New Roman"/>
        </w:rPr>
      </w:pPr>
      <w:r>
        <w:rPr>
          <w:rFonts w:ascii="Times New Roman"/>
        </w:rPr>
        <w:t>[</w:t>
      </w:r>
      <w:r>
        <w:rPr>
          <w:rFonts w:hint="eastAsia" w:ascii="Times New Roman"/>
        </w:rPr>
        <w:t>7</w:t>
      </w:r>
      <w:r>
        <w:rPr>
          <w:rFonts w:ascii="Times New Roman"/>
        </w:rPr>
        <w:t>] LY/T 2309—2014</w:t>
      </w:r>
      <w:r>
        <w:rPr>
          <w:rFonts w:hint="eastAsia" w:ascii="Times New Roman"/>
        </w:rPr>
        <w:t>《</w:t>
      </w:r>
      <w:r>
        <w:rPr>
          <w:rFonts w:ascii="Times New Roman"/>
        </w:rPr>
        <w:t>麻疯树育苗技术规程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8</w:t>
      </w:r>
      <w:r>
        <w:rPr>
          <w:rFonts w:ascii="Times New Roman"/>
        </w:rPr>
        <w:t>] LY/T 2530—2015</w:t>
      </w:r>
      <w:r>
        <w:rPr>
          <w:rFonts w:hint="eastAsia" w:ascii="Times New Roman"/>
        </w:rPr>
        <w:t>《</w:t>
      </w:r>
      <w:r>
        <w:rPr>
          <w:rFonts w:ascii="Times New Roman"/>
        </w:rPr>
        <w:t>光皮树苗木质量分级</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9</w:t>
      </w:r>
      <w:r>
        <w:rPr>
          <w:rFonts w:ascii="Times New Roman"/>
        </w:rPr>
        <w:t>] LY∕T 3088—2019</w:t>
      </w:r>
      <w:r>
        <w:rPr>
          <w:rFonts w:hint="eastAsia" w:ascii="Times New Roman"/>
        </w:rPr>
        <w:t>《</w:t>
      </w:r>
      <w:r>
        <w:rPr>
          <w:rFonts w:ascii="Times New Roman"/>
        </w:rPr>
        <w:t>无患子播种育苗技术规程</w:t>
      </w:r>
      <w:r>
        <w:rPr>
          <w:rFonts w:hint="eastAsia" w:ascii="Times New Roman"/>
        </w:rPr>
        <w:t>》</w:t>
      </w:r>
    </w:p>
    <w:p>
      <w:pPr>
        <w:pStyle w:val="21"/>
        <w:spacing w:line="360" w:lineRule="auto"/>
        <w:rPr>
          <w:rFonts w:ascii="Times New Roman"/>
        </w:rPr>
      </w:pPr>
      <w:r>
        <w:rPr>
          <w:rFonts w:ascii="Times New Roman"/>
        </w:rPr>
        <w:t>[</w:t>
      </w:r>
      <w:r>
        <w:rPr>
          <w:rFonts w:hint="eastAsia" w:ascii="Times New Roman"/>
        </w:rPr>
        <w:t>10</w:t>
      </w:r>
      <w:r>
        <w:rPr>
          <w:rFonts w:ascii="Times New Roman"/>
        </w:rPr>
        <w:t>] NY/T 1989—2011</w:t>
      </w:r>
      <w:r>
        <w:rPr>
          <w:rFonts w:hint="eastAsia" w:ascii="Times New Roman"/>
        </w:rPr>
        <w:t>《</w:t>
      </w:r>
      <w:r>
        <w:rPr>
          <w:rFonts w:ascii="Times New Roman"/>
        </w:rPr>
        <w:t>油棕</w:t>
      </w:r>
      <w:r>
        <w:rPr>
          <w:rFonts w:hint="eastAsia" w:ascii="Times New Roman"/>
        </w:rPr>
        <w:t xml:space="preserve"> </w:t>
      </w:r>
      <w:r>
        <w:rPr>
          <w:rFonts w:ascii="Times New Roman"/>
        </w:rPr>
        <w:t>种苗</w:t>
      </w:r>
      <w:r>
        <w:rPr>
          <w:rFonts w:hint="eastAsia" w:ascii="Times New Roman"/>
        </w:rPr>
        <w:t>》</w:t>
      </w:r>
    </w:p>
    <w:p>
      <w:pPr>
        <w:pStyle w:val="21"/>
        <w:rPr>
          <w:rFonts w:ascii="Times New Roman"/>
        </w:rPr>
      </w:pPr>
    </w:p>
    <w:p>
      <w:pPr>
        <w:spacing w:line="360" w:lineRule="auto"/>
        <w:rPr>
          <w:rFonts w:ascii="Times New Roman" w:hAnsi="Times New Roman" w:cs="Times New Roman"/>
          <w:szCs w:val="21"/>
        </w:rPr>
      </w:pPr>
    </w:p>
    <w:p>
      <w:pPr>
        <w:jc w:val="center"/>
        <w:rPr>
          <w:rStyle w:val="41"/>
          <w:rFonts w:hAnsi="黑体" w:cs="Times New Roman"/>
          <w:kern w:val="0"/>
        </w:rPr>
      </w:pPr>
    </w:p>
    <w:p>
      <w:pPr>
        <w:jc w:val="center"/>
      </w:pPr>
    </w:p>
    <w:sectPr>
      <w:headerReference r:id="rId12" w:type="even"/>
      <w:pgSz w:w="11906" w:h="16838"/>
      <w:pgMar w:top="1911" w:right="1134" w:bottom="1134" w:left="1417" w:header="1417" w:footer="1134"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76092" w:themeColor="accent1" w:themeShade="BF"/>
        <w:sz w:val="26"/>
        <w:szCs w:val="26"/>
      </w:rPr>
    </w:pPr>
    <w:r>
      <w:rPr>
        <w:rFonts w:asciiTheme="majorHAnsi" w:hAnsiTheme="majorHAnsi" w:eastAsiaTheme="majorEastAsia" w:cstheme="majorBidi"/>
        <w:color w:val="376092" w:themeColor="accent1" w:themeShade="BF"/>
        <w:sz w:val="26"/>
        <w:szCs w:val="26"/>
      </w:rPr>
      <w:fldChar w:fldCharType="begin"/>
    </w:r>
    <w:r>
      <w:rPr>
        <w:rFonts w:asciiTheme="majorHAnsi" w:hAnsiTheme="majorHAnsi" w:eastAsiaTheme="majorEastAsia" w:cstheme="majorBidi"/>
        <w:color w:val="376092" w:themeColor="accent1" w:themeShade="BF"/>
        <w:sz w:val="26"/>
        <w:szCs w:val="26"/>
      </w:rPr>
      <w:instrText xml:space="preserve">PAGE   \* MERGEFORMAT</w:instrText>
    </w:r>
    <w:r>
      <w:rPr>
        <w:rFonts w:asciiTheme="majorHAnsi" w:hAnsiTheme="majorHAnsi" w:eastAsiaTheme="majorEastAsia" w:cstheme="majorBidi"/>
        <w:color w:val="376092" w:themeColor="accent1" w:themeShade="BF"/>
        <w:sz w:val="26"/>
        <w:szCs w:val="26"/>
      </w:rPr>
      <w:fldChar w:fldCharType="separate"/>
    </w:r>
    <w:r>
      <w:rPr>
        <w:rFonts w:asciiTheme="majorHAnsi" w:hAnsiTheme="majorHAnsi" w:eastAsiaTheme="majorEastAsia" w:cstheme="majorBidi"/>
        <w:color w:val="376092" w:themeColor="accent1" w:themeShade="BF"/>
        <w:sz w:val="26"/>
        <w:szCs w:val="26"/>
        <w:lang w:val="zh-CN"/>
      </w:rPr>
      <w:t>2</w:t>
    </w:r>
    <w:r>
      <w:rPr>
        <w:rFonts w:asciiTheme="majorHAnsi" w:hAnsiTheme="majorHAnsi" w:eastAsiaTheme="majorEastAsia" w:cstheme="majorBidi"/>
        <w:color w:val="376092" w:themeColor="accent1" w:themeShade="BF"/>
        <w:sz w:val="26"/>
        <w:szCs w:val="26"/>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76092" w:themeColor="accent1" w:themeShade="BF"/>
        <w:sz w:val="26"/>
        <w:szCs w:val="26"/>
        <w:lang w:val="zh-CN"/>
      </w:rPr>
    </w:pPr>
    <w:r>
      <w:rPr>
        <w:rFonts w:hint="eastAsia" w:asciiTheme="majorHAnsi" w:hAnsiTheme="majorHAnsi" w:eastAsiaTheme="majorEastAsia" w:cstheme="majorBidi"/>
        <w:color w:val="376092" w:themeColor="accent1" w:themeShade="BF"/>
        <w:sz w:val="26"/>
        <w:szCs w:val="26"/>
        <w:lang w:val="zh-CN"/>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right="22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6"/>
                      <w:ind w:right="22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1</w:t>
                    </w:r>
                    <w:r>
                      <w:rPr>
                        <w:rFonts w:hint="eastAsia" w:ascii="宋体" w:hAnsi="宋体" w:eastAsia="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372745" cy="1828800"/>
              <wp:effectExtent l="0" t="0" r="8255" b="0"/>
              <wp:wrapNone/>
              <wp:docPr id="12" name="文本框 12"/>
              <wp:cNvGraphicFramePr/>
              <a:graphic xmlns:a="http://schemas.openxmlformats.org/drawingml/2006/main">
                <a:graphicData uri="http://schemas.microsoft.com/office/word/2010/wordprocessingShape">
                  <wps:wsp>
                    <wps:cNvSpPr txBox="1"/>
                    <wps:spPr>
                      <a:xfrm>
                        <a:off x="0" y="0"/>
                        <a:ext cx="37279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left="22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16</w:t>
                          </w:r>
                          <w:r>
                            <w:rPr>
                              <w:rFonts w:hint="eastAsia" w:ascii="宋体" w:hAnsi="宋体" w:eastAsia="宋体" w:cs="宋体"/>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9.35pt;mso-position-horizontal:left;mso-position-horizontal-relative:margin;z-index:251660288;mso-width-relative:page;mso-height-relative:page;" filled="f" stroked="f" coordsize="21600,21600" o:gfxdata="UEsDBAoAAAAAAIdO4kAAAAAAAAAAAAAAAAAEAAAAZHJzL1BLAwQUAAAACACHTuJAUlujktMAAAAE&#10;AQAADwAAAGRycy9kb3ducmV2LnhtbE2PQU/DMAyF70j8h8hI3FiySUBVmu6AYAc40U2Io9e6TaFx&#10;qibrBr8ewwUulp6e/d7nYn3yg5ppin1gC8uFAUVch6bnzsJu+3iVgYoJucEhMFn4pAjr8vyswLwJ&#10;R36huUqdkhCOOVpwKY251rF25DEuwkgsXhsmj0nk1OlmwqOE+0GvjLnRHnuWBocj3TuqP6qDF4zX&#10;Z+M3X61780/Yxspt583Du7WXF0tzByrRKf0tww++3EApTPtw4CaqwYI8kn6neNfZLai9hVWWGdBl&#10;of/Dl99QSwMEFAAAAAgAh07iQNfe6g0zAgAAWAQAAA4AAABkcnMvZTJvRG9jLnhtbK1Uy47TMBTd&#10;I/EPlvc0bQdmStV0VKYqQhoxIxXE2nWcJpJf2G6T8gHwB6zYsOe7+h0cO00HDSxmwca9ue9z7r2d&#10;XbdKkr1wvjY6p6PBkBKhuSlqvc3pxw+rFxNKfGC6YNJokdOD8PR6/vzZrLFTMTaVkYVwBEm0nzY2&#10;p1UIdpplnldCMT8wVmgYS+MUC/h026xwrEF2JbPxcHiZNcYV1hkuvId22RnpKaN7SkJTljUXS8N3&#10;SujQZXVCsgBIvqqtp/PUbVkKHu7K0otAZE6BNKQXRSBv4pvNZ2y6dcxWNT+1wJ7SwiNMitUaRc+p&#10;liwwsnP1X6lUzZ3xpgwDblTWAUmMAMVo+IibdcWsSFhAtbdn0v3/S8vf7+8dqQtswpgSzRQmfvz+&#10;7fjj1/HnVwIdCGqsn8JvbeEZ2jemhXOv91BG3G3pVPwFIgI76D2c6RVtIBzKi6vx1euXlHCYRpPx&#10;ZDJM/GcP0db58FYYRaKQU4fxJVbZ/tYHdALX3iUW02ZVS5lGKDVpcnp58WqYAs4WREiNwIih6zVK&#10;od20J2AbUxyAy5luNbzlqxrFb5kP98xhFwAF1xLu8JTSoIg5SZRUxn35lz76Y0SwUtJgt3LqP++Y&#10;E5TIdxrDi4vYC64XNr2gd+rGYF1HuEPLk4gAF2Qvls6oTziiRawCE9MctXIaevEmdBuOI+RisUhO&#10;WDfLwq1eWx5TR/q8XewCKEzMRlo6Lk5sYeES4afjiBv953fyevhD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lujktMAAAAEAQAADwAAAAAAAAABACAAAAAiAAAAZHJzL2Rvd25yZXYueG1sUEsB&#10;AhQAFAAAAAgAh07iQNfe6g0zAgAAWAQAAA4AAAAAAAAAAQAgAAAAIgEAAGRycy9lMm9Eb2MueG1s&#10;UEsFBgAAAAAGAAYAWQEAAMcFAAAAAA==&#10;">
              <v:fill on="f" focussize="0,0"/>
              <v:stroke on="f" weight="0.5pt"/>
              <v:imagedata o:title=""/>
              <o:lock v:ext="edit" aspectratio="f"/>
              <v:textbox inset="0mm,0mm,0mm,0mm" style="mso-fit-shape-to-text:t;">
                <w:txbxContent>
                  <w:p>
                    <w:pPr>
                      <w:pStyle w:val="16"/>
                      <w:ind w:left="22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16</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rFonts w:ascii="黑体" w:hAnsi="黑体" w:eastAsia="黑体" w:cs="Times New Roman"/>
        <w:b/>
        <w:bCs/>
        <w:kern w:val="0"/>
        <w:sz w:val="21"/>
        <w:szCs w:val="21"/>
      </w:rPr>
    </w:pPr>
    <w:r>
      <w:rPr>
        <w:rFonts w:ascii="黑体" w:hAnsi="黑体" w:eastAsia="黑体" w:cs="Times New Roman"/>
        <w:b/>
        <w:bCs/>
        <w:kern w:val="0"/>
        <w:sz w:val="21"/>
        <w:szCs w:val="21"/>
      </w:rPr>
      <w:t>T/CSF XXX—XXXX</w:t>
    </w:r>
  </w:p>
  <w:p>
    <w:pPr>
      <w:pStyle w:val="17"/>
      <w:pBdr>
        <w:bottom w:val="none" w:color="auto" w:sz="0" w:space="1"/>
      </w:pBdr>
      <w:jc w:val="right"/>
      <w:rPr>
        <w:rFonts w:ascii="黑体" w:hAnsi="黑体" w:eastAsia="黑体" w:cs="Times New Roman"/>
        <w:b/>
        <w:bCs/>
        <w:kern w:val="0"/>
        <w:sz w:val="21"/>
        <w:szCs w:val="21"/>
      </w:rPr>
    </w:pPr>
  </w:p>
  <w:p>
    <w:pPr>
      <w:pStyle w:val="17"/>
      <w:pBdr>
        <w:bottom w:val="none" w:color="auto" w:sz="0" w:space="1"/>
      </w:pBdr>
      <w:jc w:val="right"/>
      <w:rPr>
        <w:rFonts w:ascii="黑体" w:hAnsi="黑体" w:eastAsia="黑体" w:cs="Times New Roman"/>
        <w:b/>
        <w:bCs/>
        <w:kern w:val="0"/>
        <w:sz w:val="21"/>
        <w:szCs w:val="21"/>
      </w:rPr>
    </w:pPr>
  </w:p>
  <w:p>
    <w:pPr>
      <w:pStyle w:val="17"/>
      <w:pBdr>
        <w:bottom w:val="none" w:color="auto" w:sz="0" w:space="1"/>
      </w:pBdr>
      <w:jc w:val="both"/>
      <w:rPr>
        <w:rFonts w:ascii="黑体" w:hAnsi="黑体" w:eastAsia="黑体" w:cs="Times New Roman"/>
        <w:b/>
        <w:bCs/>
        <w:kern w:val="0"/>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r>
      <w:rPr>
        <w:rFonts w:ascii="黑体" w:hAnsi="黑体" w:eastAsia="黑体" w:cs="Times New Roman"/>
        <w:b/>
        <w:bCs/>
        <w:kern w:val="0"/>
        <w:sz w:val="21"/>
        <w:szCs w:val="21"/>
      </w:rPr>
      <w:t>T/CSF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r>
      <w:rPr>
        <w:rFonts w:ascii="黑体" w:hAnsi="黑体" w:eastAsia="黑体" w:cs="Times New Roman"/>
        <w:b/>
        <w:bCs/>
        <w:kern w:val="0"/>
        <w:sz w:val="21"/>
        <w:szCs w:val="21"/>
      </w:rPr>
      <w:t>T/CSF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ascii="黑体" w:hAnsi="黑体" w:eastAsia="黑体" w:cs="Times New Roman"/>
        <w:b/>
        <w:bCs/>
        <w:kern w:val="0"/>
        <w:sz w:val="21"/>
        <w:szCs w:val="21"/>
      </w:rPr>
    </w:pPr>
    <w:r>
      <w:rPr>
        <w:rFonts w:ascii="黑体" w:hAnsi="黑体" w:eastAsia="黑体" w:cs="Times New Roman"/>
        <w:b/>
        <w:bCs/>
        <w:kern w:val="0"/>
        <w:sz w:val="21"/>
        <w:szCs w:val="21"/>
      </w:rPr>
      <w:t>T/CSF 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ascii="黑体" w:hAnsi="黑体" w:eastAsia="黑体" w:cs="Times New Roman"/>
        <w:b/>
        <w:bCs/>
        <w:kern w:val="0"/>
        <w:sz w:val="21"/>
        <w:szCs w:val="21"/>
      </w:rPr>
    </w:pPr>
    <w:r>
      <w:rPr>
        <w:rFonts w:ascii="黑体" w:hAnsi="黑体" w:eastAsia="黑体" w:cs="Times New Roman"/>
        <w:b/>
        <w:bCs/>
        <w:kern w:val="0"/>
        <w:sz w:val="21"/>
        <w:szCs w:val="21"/>
      </w:rPr>
      <w:t>T/CSF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7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7A0326"/>
    <w:multiLevelType w:val="multilevel"/>
    <w:tmpl w:val="1D7A0326"/>
    <w:lvl w:ilvl="0" w:tentative="0">
      <w:start w:val="1"/>
      <w:numFmt w:val="decimal"/>
      <w:lvlText w:val="%1"/>
      <w:lvlJc w:val="left"/>
      <w:pPr>
        <w:ind w:left="425" w:hanging="425"/>
      </w:pPr>
      <w:rPr>
        <w:rFonts w:hint="eastAsia" w:ascii="黑体" w:hAnsi="黑体" w:eastAsia="黑体"/>
        <w:sz w:val="21"/>
        <w:szCs w:val="21"/>
      </w:rPr>
    </w:lvl>
    <w:lvl w:ilvl="1" w:tentative="0">
      <w:start w:val="0"/>
      <w:numFmt w:val="none"/>
      <w:pStyle w:val="160"/>
      <w:lvlText w:val=""/>
      <w:lvlJc w:val="left"/>
      <w:pPr>
        <w:tabs>
          <w:tab w:val="left" w:pos="360"/>
        </w:tabs>
      </w:pPr>
    </w:lvl>
    <w:lvl w:ilvl="2" w:tentative="0">
      <w:start w:val="0"/>
      <w:numFmt w:val="decimal"/>
      <w:pStyle w:val="161"/>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DBF583A"/>
    <w:multiLevelType w:val="multilevel"/>
    <w:tmpl w:val="1DBF583A"/>
    <w:lvl w:ilvl="0" w:tentative="0">
      <w:start w:val="1"/>
      <w:numFmt w:val="decimal"/>
      <w:pStyle w:val="7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8"/>
      <w:suff w:val="nothing"/>
      <w:lvlText w:val="%1.%2.%3　"/>
      <w:lvlJc w:val="left"/>
      <w:pPr>
        <w:ind w:left="1135" w:firstLine="0"/>
      </w:pPr>
      <w:rPr>
        <w:rFonts w:hint="eastAsia" w:ascii="黑体" w:hAnsi="Times New Roman" w:eastAsia="黑体"/>
        <w:b w:val="0"/>
        <w:i w:val="0"/>
        <w:sz w:val="21"/>
      </w:rPr>
    </w:lvl>
    <w:lvl w:ilvl="3" w:tentative="0">
      <w:start w:val="1"/>
      <w:numFmt w:val="decimal"/>
      <w:pStyle w:val="59"/>
      <w:suff w:val="nothing"/>
      <w:lvlText w:val="%1.%2.%3.%4　"/>
      <w:lvlJc w:val="left"/>
      <w:pPr>
        <w:ind w:left="1276"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0A465CA"/>
    <w:multiLevelType w:val="multilevel"/>
    <w:tmpl w:val="20A465CA"/>
    <w:lvl w:ilvl="0" w:tentative="0">
      <w:start w:val="6"/>
      <w:numFmt w:val="decimal"/>
      <w:pStyle w:val="72"/>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5"/>
      <w:suff w:val="nothing"/>
      <w:lvlText w:val="%1——"/>
      <w:lvlJc w:val="left"/>
      <w:pPr>
        <w:ind w:left="833" w:hanging="408"/>
      </w:pPr>
      <w:rPr>
        <w:rFonts w:hint="eastAsia"/>
      </w:rPr>
    </w:lvl>
    <w:lvl w:ilvl="1" w:tentative="0">
      <w:start w:val="1"/>
      <w:numFmt w:val="bullet"/>
      <w:pStyle w:val="66"/>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BBD0747"/>
    <w:multiLevelType w:val="multilevel"/>
    <w:tmpl w:val="3BBD0747"/>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7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0"/>
      <w:lvlText w:val="%2)"/>
      <w:lvlJc w:val="left"/>
      <w:pPr>
        <w:tabs>
          <w:tab w:val="left" w:pos="1260"/>
        </w:tabs>
        <w:ind w:left="1259" w:hanging="419"/>
      </w:pPr>
      <w:rPr>
        <w:rFonts w:hint="eastAsia"/>
      </w:rPr>
    </w:lvl>
    <w:lvl w:ilvl="2" w:tentative="0">
      <w:start w:val="1"/>
      <w:numFmt w:val="decimal"/>
      <w:pStyle w:val="7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57C2AF5"/>
    <w:multiLevelType w:val="multilevel"/>
    <w:tmpl w:val="557C2AF5"/>
    <w:lvl w:ilvl="0" w:tentative="0">
      <w:start w:val="1"/>
      <w:numFmt w:val="decimal"/>
      <w:pStyle w:val="14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6"/>
      <w:lvlText w:val="%1"/>
      <w:lvlJc w:val="left"/>
      <w:pPr>
        <w:tabs>
          <w:tab w:val="left" w:pos="0"/>
        </w:tabs>
        <w:ind w:left="0" w:hanging="425"/>
      </w:pPr>
      <w:rPr>
        <w:rFonts w:hint="eastAsia"/>
      </w:rPr>
    </w:lvl>
    <w:lvl w:ilvl="1" w:tentative="0">
      <w:start w:val="1"/>
      <w:numFmt w:val="decimal"/>
      <w:pStyle w:val="9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41"/>
      <w:suff w:val="nothing"/>
      <w:lvlText w:val="表%1　"/>
      <w:lvlJc w:val="left"/>
      <w:pPr>
        <w:ind w:left="0" w:firstLine="0"/>
      </w:pPr>
      <w:rPr>
        <w:rFonts w:hint="eastAsia" w:ascii="黑体" w:hAnsi="Times New Roman" w:eastAsia="黑体"/>
        <w:b w:val="0"/>
        <w:i w:val="0"/>
        <w:sz w:val="21"/>
      </w:rPr>
    </w:lvl>
    <w:lvl w:ilvl="1" w:tentative="0">
      <w:start w:val="1"/>
      <w:numFmt w:val="decimal"/>
      <w:pStyle w:val="138"/>
      <w:lvlText w:val="%1.%2"/>
      <w:lvlJc w:val="left"/>
      <w:pPr>
        <w:tabs>
          <w:tab w:val="left" w:pos="992"/>
        </w:tabs>
        <w:ind w:left="992" w:hanging="567"/>
      </w:pPr>
      <w:rPr>
        <w:rFonts w:hint="eastAsia"/>
      </w:rPr>
    </w:lvl>
    <w:lvl w:ilvl="2" w:tentative="0">
      <w:start w:val="1"/>
      <w:numFmt w:val="decimal"/>
      <w:pStyle w:val="77"/>
      <w:lvlText w:val="%1.%2.%3"/>
      <w:lvlJc w:val="left"/>
      <w:pPr>
        <w:tabs>
          <w:tab w:val="left" w:pos="1418"/>
        </w:tabs>
        <w:ind w:left="1418" w:hanging="567"/>
      </w:pPr>
      <w:rPr>
        <w:rFonts w:hint="eastAsia"/>
      </w:rPr>
    </w:lvl>
    <w:lvl w:ilvl="3" w:tentative="0">
      <w:start w:val="1"/>
      <w:numFmt w:val="decimal"/>
      <w:pStyle w:val="124"/>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pStyle w:val="137"/>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98"/>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5"/>
      <w:lvlText w:val="%1)"/>
      <w:lvlJc w:val="left"/>
      <w:pPr>
        <w:tabs>
          <w:tab w:val="left" w:pos="839"/>
        </w:tabs>
        <w:ind w:left="839" w:hanging="419"/>
      </w:pPr>
      <w:rPr>
        <w:rFonts w:hint="eastAsia" w:ascii="宋体" w:eastAsia="宋体"/>
        <w:b w:val="0"/>
        <w:i w:val="0"/>
        <w:sz w:val="21"/>
      </w:rPr>
    </w:lvl>
    <w:lvl w:ilvl="1" w:tentative="0">
      <w:start w:val="1"/>
      <w:numFmt w:val="decimal"/>
      <w:pStyle w:val="1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7"/>
  </w:num>
  <w:num w:numId="4">
    <w:abstractNumId w:val="10"/>
  </w:num>
  <w:num w:numId="5">
    <w:abstractNumId w:val="0"/>
  </w:num>
  <w:num w:numId="6">
    <w:abstractNumId w:val="5"/>
  </w:num>
  <w:num w:numId="7">
    <w:abstractNumId w:val="13"/>
  </w:num>
  <w:num w:numId="8">
    <w:abstractNumId w:val="3"/>
  </w:num>
  <w:num w:numId="9">
    <w:abstractNumId w:val="14"/>
  </w:num>
  <w:num w:numId="10">
    <w:abstractNumId w:val="12"/>
  </w:num>
  <w:num w:numId="11">
    <w:abstractNumId w:val="15"/>
  </w:num>
  <w:num w:numId="12">
    <w:abstractNumId w:val="6"/>
  </w:num>
  <w:num w:numId="13">
    <w:abstractNumId w:val="1"/>
  </w:num>
  <w:num w:numId="14">
    <w:abstractNumId w:val="11"/>
  </w:num>
  <w:num w:numId="15">
    <w:abstractNumId w:val="2"/>
  </w:num>
  <w:num w:numId="16">
    <w:abstractNumId w:val="8"/>
  </w:num>
  <w:num w:numId="17">
    <w:abstractNumId w:val="5"/>
    <w:lvlOverride w:ilvl="0">
      <w:startOverride w:val="7"/>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mirrorMargins w:val="1"/>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kMDI1N2MxZGRmNGEwNjBiMmJmNmI2MzQzMmRjMjAifQ=="/>
  </w:docVars>
  <w:rsids>
    <w:rsidRoot w:val="00CC5D0F"/>
    <w:rsid w:val="00020A69"/>
    <w:rsid w:val="000675AB"/>
    <w:rsid w:val="00067F6A"/>
    <w:rsid w:val="00074E33"/>
    <w:rsid w:val="000939F9"/>
    <w:rsid w:val="0009465A"/>
    <w:rsid w:val="000C4ACA"/>
    <w:rsid w:val="000D433E"/>
    <w:rsid w:val="000D4886"/>
    <w:rsid w:val="0011592E"/>
    <w:rsid w:val="00146252"/>
    <w:rsid w:val="00173F50"/>
    <w:rsid w:val="00175800"/>
    <w:rsid w:val="00195B44"/>
    <w:rsid w:val="001B07BA"/>
    <w:rsid w:val="001B1B61"/>
    <w:rsid w:val="001D5404"/>
    <w:rsid w:val="001D637F"/>
    <w:rsid w:val="002136FE"/>
    <w:rsid w:val="002835BB"/>
    <w:rsid w:val="00290EE7"/>
    <w:rsid w:val="002A2A85"/>
    <w:rsid w:val="002B2287"/>
    <w:rsid w:val="002F4440"/>
    <w:rsid w:val="00303C67"/>
    <w:rsid w:val="003351D7"/>
    <w:rsid w:val="003A2B68"/>
    <w:rsid w:val="003B2935"/>
    <w:rsid w:val="003B47F2"/>
    <w:rsid w:val="003C1A63"/>
    <w:rsid w:val="003C1FAB"/>
    <w:rsid w:val="004159E2"/>
    <w:rsid w:val="00421155"/>
    <w:rsid w:val="00452D41"/>
    <w:rsid w:val="004D6FF5"/>
    <w:rsid w:val="004F0C35"/>
    <w:rsid w:val="00531209"/>
    <w:rsid w:val="00546922"/>
    <w:rsid w:val="00547E62"/>
    <w:rsid w:val="00562E68"/>
    <w:rsid w:val="00593933"/>
    <w:rsid w:val="006168F2"/>
    <w:rsid w:val="00630154"/>
    <w:rsid w:val="00636D30"/>
    <w:rsid w:val="0064527E"/>
    <w:rsid w:val="00710233"/>
    <w:rsid w:val="00776808"/>
    <w:rsid w:val="0079744B"/>
    <w:rsid w:val="007E6637"/>
    <w:rsid w:val="00855BB2"/>
    <w:rsid w:val="008579B0"/>
    <w:rsid w:val="0088578A"/>
    <w:rsid w:val="00897031"/>
    <w:rsid w:val="008A367E"/>
    <w:rsid w:val="008A422E"/>
    <w:rsid w:val="008A6AA3"/>
    <w:rsid w:val="008D0790"/>
    <w:rsid w:val="0090655B"/>
    <w:rsid w:val="0097044C"/>
    <w:rsid w:val="009A0D7E"/>
    <w:rsid w:val="009A3036"/>
    <w:rsid w:val="009B2B17"/>
    <w:rsid w:val="009B3122"/>
    <w:rsid w:val="00A02F75"/>
    <w:rsid w:val="00A17ABD"/>
    <w:rsid w:val="00A22281"/>
    <w:rsid w:val="00A747CE"/>
    <w:rsid w:val="00A90AF5"/>
    <w:rsid w:val="00AA6A56"/>
    <w:rsid w:val="00AF3012"/>
    <w:rsid w:val="00B20E69"/>
    <w:rsid w:val="00B44D74"/>
    <w:rsid w:val="00B54941"/>
    <w:rsid w:val="00B73CDC"/>
    <w:rsid w:val="00B9352A"/>
    <w:rsid w:val="00BB7718"/>
    <w:rsid w:val="00BC3017"/>
    <w:rsid w:val="00BE07DA"/>
    <w:rsid w:val="00C204F7"/>
    <w:rsid w:val="00C24975"/>
    <w:rsid w:val="00C602D1"/>
    <w:rsid w:val="00C84E89"/>
    <w:rsid w:val="00CC5D0F"/>
    <w:rsid w:val="00CF2C6E"/>
    <w:rsid w:val="00D224B5"/>
    <w:rsid w:val="00D9218E"/>
    <w:rsid w:val="00D9306F"/>
    <w:rsid w:val="00D979E0"/>
    <w:rsid w:val="00DA46C8"/>
    <w:rsid w:val="00DB0A6B"/>
    <w:rsid w:val="00E576A1"/>
    <w:rsid w:val="00EB1B74"/>
    <w:rsid w:val="00EB7C1B"/>
    <w:rsid w:val="00EC1F44"/>
    <w:rsid w:val="00EC4E34"/>
    <w:rsid w:val="00ED0F99"/>
    <w:rsid w:val="00EE3E43"/>
    <w:rsid w:val="00F23DBE"/>
    <w:rsid w:val="00F313B7"/>
    <w:rsid w:val="00F81EB5"/>
    <w:rsid w:val="00F83139"/>
    <w:rsid w:val="00FA1548"/>
    <w:rsid w:val="1CAD3B0B"/>
    <w:rsid w:val="20956B22"/>
    <w:rsid w:val="232562F1"/>
    <w:rsid w:val="364169EC"/>
    <w:rsid w:val="396C0041"/>
    <w:rsid w:val="41F76D42"/>
    <w:rsid w:val="608F78DD"/>
    <w:rsid w:val="65190719"/>
    <w:rsid w:val="690F0720"/>
    <w:rsid w:val="76DB6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1"/>
    <w:pPr>
      <w:spacing w:before="153"/>
      <w:outlineLvl w:val="0"/>
    </w:pPr>
    <w:rPr>
      <w:rFonts w:ascii="黑体" w:hAnsi="黑体" w:eastAsia="黑体" w:cs="黑体"/>
      <w:sz w:val="32"/>
      <w:szCs w:val="32"/>
    </w:rPr>
  </w:style>
  <w:style w:type="paragraph" w:styleId="3">
    <w:name w:val="heading 2"/>
    <w:basedOn w:val="1"/>
    <w:next w:val="1"/>
    <w:link w:val="43"/>
    <w:unhideWhenUsed/>
    <w:qFormat/>
    <w:uiPriority w:val="0"/>
    <w:pPr>
      <w:jc w:val="left"/>
      <w:outlineLvl w:val="1"/>
    </w:pPr>
    <w:rPr>
      <w:rFonts w:ascii="微软雅黑" w:hAnsi="微软雅黑" w:eastAsia="微软雅黑" w:cs="Times New Roman"/>
      <w:b/>
      <w:kern w:val="0"/>
      <w:sz w:val="36"/>
      <w:szCs w:val="36"/>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4">
    <w:name w:val="index 8"/>
    <w:basedOn w:val="1"/>
    <w:next w:val="1"/>
    <w:qFormat/>
    <w:uiPriority w:val="0"/>
    <w:pPr>
      <w:ind w:left="1680" w:hanging="210"/>
      <w:jc w:val="left"/>
    </w:pPr>
    <w:rPr>
      <w:rFonts w:ascii="Calibri" w:hAnsi="Calibri" w:eastAsia="宋体" w:cs="Times New Roman"/>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eastAsia="宋体" w:cs="Times New Roman"/>
      <w:sz w:val="20"/>
      <w:szCs w:val="20"/>
    </w:rPr>
  </w:style>
  <w:style w:type="paragraph" w:styleId="7">
    <w:name w:val="Document Map"/>
    <w:basedOn w:val="1"/>
    <w:link w:val="155"/>
    <w:qFormat/>
    <w:uiPriority w:val="0"/>
    <w:pPr>
      <w:shd w:val="clear" w:color="auto" w:fill="000080"/>
    </w:pPr>
    <w:rPr>
      <w:rFonts w:ascii="Times New Roman" w:hAnsi="Times New Roman" w:eastAsia="宋体" w:cs="Times New Roman"/>
      <w:szCs w:val="24"/>
    </w:rPr>
  </w:style>
  <w:style w:type="paragraph" w:styleId="8">
    <w:name w:val="annotation text"/>
    <w:basedOn w:val="1"/>
    <w:link w:val="44"/>
    <w:qFormat/>
    <w:uiPriority w:val="0"/>
    <w:pPr>
      <w:jc w:val="left"/>
    </w:pPr>
    <w:rPr>
      <w:szCs w:val="24"/>
    </w:rPr>
  </w:style>
  <w:style w:type="paragraph" w:styleId="9">
    <w:name w:val="index 6"/>
    <w:basedOn w:val="1"/>
    <w:next w:val="1"/>
    <w:qFormat/>
    <w:uiPriority w:val="0"/>
    <w:pPr>
      <w:ind w:left="1260" w:hanging="210"/>
      <w:jc w:val="left"/>
    </w:pPr>
    <w:rPr>
      <w:rFonts w:ascii="Calibri" w:hAnsi="Calibri" w:eastAsia="宋体" w:cs="Times New Roman"/>
      <w:sz w:val="20"/>
      <w:szCs w:val="20"/>
    </w:rPr>
  </w:style>
  <w:style w:type="paragraph" w:styleId="10">
    <w:name w:val="Body Text"/>
    <w:basedOn w:val="1"/>
    <w:link w:val="45"/>
    <w:qFormat/>
    <w:uiPriority w:val="1"/>
    <w:rPr>
      <w:szCs w:val="21"/>
    </w:rPr>
  </w:style>
  <w:style w:type="paragraph" w:styleId="11">
    <w:name w:val="index 4"/>
    <w:basedOn w:val="1"/>
    <w:next w:val="1"/>
    <w:qFormat/>
    <w:uiPriority w:val="0"/>
    <w:pPr>
      <w:ind w:left="840" w:hanging="210"/>
      <w:jc w:val="left"/>
    </w:pPr>
    <w:rPr>
      <w:rFonts w:ascii="Calibri" w:hAnsi="Calibri" w:eastAsia="宋体" w:cs="Times New Roman"/>
      <w:sz w:val="20"/>
      <w:szCs w:val="20"/>
    </w:rPr>
  </w:style>
  <w:style w:type="paragraph" w:styleId="12">
    <w:name w:val="toc 3"/>
    <w:basedOn w:val="1"/>
    <w:next w:val="1"/>
    <w:unhideWhenUsed/>
    <w:uiPriority w:val="39"/>
    <w:pPr>
      <w:widowControl/>
      <w:spacing w:after="100" w:line="259" w:lineRule="auto"/>
      <w:ind w:left="440"/>
      <w:jc w:val="left"/>
    </w:pPr>
    <w:rPr>
      <w:rFonts w:cs="Times New Roman"/>
      <w:kern w:val="0"/>
      <w:sz w:val="22"/>
    </w:rPr>
  </w:style>
  <w:style w:type="paragraph" w:styleId="13">
    <w:name w:val="index 3"/>
    <w:basedOn w:val="1"/>
    <w:next w:val="1"/>
    <w:qFormat/>
    <w:uiPriority w:val="0"/>
    <w:pPr>
      <w:ind w:left="630" w:hanging="210"/>
      <w:jc w:val="left"/>
    </w:pPr>
    <w:rPr>
      <w:rFonts w:ascii="Calibri" w:hAnsi="Calibri" w:eastAsia="宋体" w:cs="Times New Roman"/>
      <w:sz w:val="20"/>
      <w:szCs w:val="20"/>
    </w:rPr>
  </w:style>
  <w:style w:type="paragraph" w:styleId="14">
    <w:name w:val="endnote text"/>
    <w:basedOn w:val="1"/>
    <w:link w:val="154"/>
    <w:qFormat/>
    <w:uiPriority w:val="0"/>
    <w:pPr>
      <w:snapToGrid w:val="0"/>
      <w:jc w:val="left"/>
    </w:pPr>
    <w:rPr>
      <w:rFonts w:ascii="Times New Roman" w:hAnsi="Times New Roman" w:eastAsia="宋体" w:cs="Times New Roman"/>
      <w:szCs w:val="24"/>
    </w:rPr>
  </w:style>
  <w:style w:type="paragraph" w:styleId="15">
    <w:name w:val="Balloon Text"/>
    <w:basedOn w:val="1"/>
    <w:link w:val="46"/>
    <w:qFormat/>
    <w:uiPriority w:val="0"/>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widowControl/>
      <w:spacing w:after="100" w:line="259" w:lineRule="auto"/>
      <w:jc w:val="left"/>
    </w:pPr>
    <w:rPr>
      <w:rFonts w:cs="Times New Roman"/>
      <w:kern w:val="0"/>
      <w:sz w:val="22"/>
    </w:rPr>
  </w:style>
  <w:style w:type="paragraph" w:styleId="19">
    <w:name w:val="index heading"/>
    <w:basedOn w:val="1"/>
    <w:next w:val="20"/>
    <w:qFormat/>
    <w:uiPriority w:val="0"/>
    <w:pPr>
      <w:spacing w:before="120" w:after="120"/>
      <w:jc w:val="center"/>
    </w:pPr>
    <w:rPr>
      <w:rFonts w:ascii="Calibri" w:hAnsi="Calibri" w:eastAsia="宋体" w:cs="Times New Roman"/>
      <w:b/>
      <w:bCs/>
      <w:iCs/>
      <w:szCs w:val="20"/>
    </w:rPr>
  </w:style>
  <w:style w:type="paragraph" w:styleId="20">
    <w:name w:val="index 1"/>
    <w:basedOn w:val="1"/>
    <w:next w:val="21"/>
    <w:qFormat/>
    <w:uiPriority w:val="0"/>
    <w:pPr>
      <w:tabs>
        <w:tab w:val="right" w:leader="dot" w:pos="9299"/>
      </w:tabs>
      <w:jc w:val="left"/>
    </w:pPr>
    <w:rPr>
      <w:rFonts w:ascii="宋体" w:hAnsi="Times New Roman" w:eastAsia="宋体" w:cs="Times New Roman"/>
      <w:szCs w:val="21"/>
    </w:rPr>
  </w:style>
  <w:style w:type="paragraph" w:customStyle="1" w:styleId="21">
    <w:name w:val="段"/>
    <w:link w:val="5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link w:val="152"/>
    <w:qFormat/>
    <w:uiPriority w:val="0"/>
    <w:pPr>
      <w:numPr>
        <w:ilvl w:val="0"/>
        <w:numId w:val="1"/>
      </w:numPr>
      <w:snapToGrid w:val="0"/>
      <w:jc w:val="left"/>
    </w:pPr>
    <w:rPr>
      <w:rFonts w:ascii="宋体" w:hAnsi="Times New Roman" w:eastAsia="宋体" w:cs="Times New Roman"/>
      <w:sz w:val="18"/>
      <w:szCs w:val="18"/>
    </w:rPr>
  </w:style>
  <w:style w:type="paragraph" w:styleId="23">
    <w:name w:val="index 7"/>
    <w:basedOn w:val="1"/>
    <w:next w:val="1"/>
    <w:qFormat/>
    <w:uiPriority w:val="0"/>
    <w:pPr>
      <w:ind w:left="1470" w:hanging="210"/>
      <w:jc w:val="left"/>
    </w:pPr>
    <w:rPr>
      <w:rFonts w:ascii="Calibri" w:hAnsi="Calibri" w:eastAsia="宋体" w:cs="Times New Roman"/>
      <w:sz w:val="20"/>
      <w:szCs w:val="20"/>
    </w:rPr>
  </w:style>
  <w:style w:type="paragraph" w:styleId="24">
    <w:name w:val="index 9"/>
    <w:basedOn w:val="1"/>
    <w:next w:val="1"/>
    <w:qFormat/>
    <w:uiPriority w:val="0"/>
    <w:pPr>
      <w:ind w:left="1890" w:hanging="210"/>
      <w:jc w:val="left"/>
    </w:pPr>
    <w:rPr>
      <w:rFonts w:ascii="Calibri" w:hAnsi="Calibri" w:eastAsia="宋体" w:cs="Times New Roman"/>
      <w:sz w:val="20"/>
      <w:szCs w:val="20"/>
    </w:rPr>
  </w:style>
  <w:style w:type="paragraph" w:styleId="25">
    <w:name w:val="toc 2"/>
    <w:basedOn w:val="1"/>
    <w:next w:val="1"/>
    <w:unhideWhenUsed/>
    <w:uiPriority w:val="39"/>
    <w:pPr>
      <w:widowControl/>
      <w:spacing w:after="100" w:line="259" w:lineRule="auto"/>
      <w:ind w:left="220"/>
      <w:jc w:val="left"/>
    </w:pPr>
    <w:rPr>
      <w:rFonts w:cs="Times New Roman"/>
      <w:kern w:val="0"/>
      <w:sz w:val="22"/>
    </w:rPr>
  </w:style>
  <w:style w:type="paragraph" w:styleId="26">
    <w:name w:val="Normal (Web)"/>
    <w:basedOn w:val="1"/>
    <w:qFormat/>
    <w:uiPriority w:val="0"/>
    <w:pPr>
      <w:spacing w:before="100" w:beforeAutospacing="1" w:after="100" w:afterAutospacing="1"/>
      <w:jc w:val="left"/>
    </w:pPr>
    <w:rPr>
      <w:rFonts w:cs="Times New Roman"/>
      <w:kern w:val="0"/>
      <w:sz w:val="24"/>
      <w:szCs w:val="24"/>
    </w:rPr>
  </w:style>
  <w:style w:type="paragraph" w:styleId="27">
    <w:name w:val="index 2"/>
    <w:basedOn w:val="1"/>
    <w:next w:val="1"/>
    <w:qFormat/>
    <w:uiPriority w:val="0"/>
    <w:pPr>
      <w:ind w:left="420" w:hanging="210"/>
      <w:jc w:val="left"/>
    </w:pPr>
    <w:rPr>
      <w:rFonts w:ascii="Calibri" w:hAnsi="Calibri" w:eastAsia="宋体" w:cs="Times New Roman"/>
      <w:sz w:val="20"/>
      <w:szCs w:val="20"/>
    </w:rPr>
  </w:style>
  <w:style w:type="paragraph" w:styleId="28">
    <w:name w:val="annotation subject"/>
    <w:basedOn w:val="8"/>
    <w:next w:val="8"/>
    <w:link w:val="47"/>
    <w:qFormat/>
    <w:uiPriority w:val="0"/>
    <w:rPr>
      <w:b/>
      <w:bCs/>
    </w:rPr>
  </w:style>
  <w:style w:type="table" w:styleId="30">
    <w:name w:val="Table Grid"/>
    <w:basedOn w:val="29"/>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endnote reference"/>
    <w:qFormat/>
    <w:uiPriority w:val="0"/>
    <w:rPr>
      <w:vertAlign w:val="superscript"/>
    </w:rPr>
  </w:style>
  <w:style w:type="character" w:styleId="34">
    <w:name w:val="page number"/>
    <w:qFormat/>
    <w:uiPriority w:val="0"/>
    <w:rPr>
      <w:rFonts w:ascii="Times New Roman" w:hAnsi="Times New Roman" w:eastAsia="宋体"/>
      <w:sz w:val="18"/>
    </w:rPr>
  </w:style>
  <w:style w:type="character" w:styleId="35">
    <w:name w:val="FollowedHyperlink"/>
    <w:basedOn w:val="31"/>
    <w:qFormat/>
    <w:uiPriority w:val="0"/>
    <w:rPr>
      <w:color w:val="800080" w:themeColor="followedHyperlink"/>
      <w:u w:val="single"/>
      <w14:textFill>
        <w14:solidFill>
          <w14:schemeClr w14:val="folHlink"/>
        </w14:solidFill>
      </w14:textFill>
    </w:rPr>
  </w:style>
  <w:style w:type="character" w:styleId="36">
    <w:name w:val="Hyperlink"/>
    <w:qFormat/>
    <w:uiPriority w:val="0"/>
    <w:rPr>
      <w:color w:val="0000FF"/>
      <w:spacing w:val="0"/>
      <w:w w:val="100"/>
      <w:szCs w:val="21"/>
      <w:u w:val="single"/>
    </w:rPr>
  </w:style>
  <w:style w:type="character" w:styleId="37">
    <w:name w:val="annotation reference"/>
    <w:basedOn w:val="31"/>
    <w:qFormat/>
    <w:uiPriority w:val="0"/>
    <w:rPr>
      <w:sz w:val="21"/>
      <w:szCs w:val="21"/>
    </w:rPr>
  </w:style>
  <w:style w:type="character" w:styleId="38">
    <w:name w:val="footnote reference"/>
    <w:qFormat/>
    <w:uiPriority w:val="0"/>
    <w:rPr>
      <w:vertAlign w:val="superscript"/>
    </w:rPr>
  </w:style>
  <w:style w:type="character" w:customStyle="1" w:styleId="39">
    <w:name w:val="页眉 字符"/>
    <w:basedOn w:val="31"/>
    <w:link w:val="17"/>
    <w:qFormat/>
    <w:uiPriority w:val="0"/>
    <w:rPr>
      <w:sz w:val="18"/>
      <w:szCs w:val="18"/>
    </w:rPr>
  </w:style>
  <w:style w:type="character" w:customStyle="1" w:styleId="40">
    <w:name w:val="页脚 字符"/>
    <w:basedOn w:val="31"/>
    <w:link w:val="16"/>
    <w:qFormat/>
    <w:uiPriority w:val="99"/>
    <w:rPr>
      <w:sz w:val="18"/>
      <w:szCs w:val="18"/>
    </w:rPr>
  </w:style>
  <w:style w:type="character" w:customStyle="1" w:styleId="41">
    <w:name w:val="发布"/>
    <w:qFormat/>
    <w:uiPriority w:val="0"/>
    <w:rPr>
      <w:rFonts w:ascii="黑体" w:eastAsia="黑体"/>
      <w:spacing w:val="85"/>
      <w:w w:val="100"/>
      <w:position w:val="3"/>
      <w:sz w:val="28"/>
      <w:szCs w:val="28"/>
    </w:rPr>
  </w:style>
  <w:style w:type="character" w:customStyle="1" w:styleId="42">
    <w:name w:val="标题 1 字符"/>
    <w:basedOn w:val="31"/>
    <w:link w:val="2"/>
    <w:qFormat/>
    <w:uiPriority w:val="1"/>
    <w:rPr>
      <w:rFonts w:ascii="黑体" w:hAnsi="黑体" w:eastAsia="黑体" w:cs="黑体"/>
      <w:sz w:val="32"/>
      <w:szCs w:val="32"/>
    </w:rPr>
  </w:style>
  <w:style w:type="character" w:customStyle="1" w:styleId="43">
    <w:name w:val="标题 2 字符"/>
    <w:basedOn w:val="31"/>
    <w:link w:val="3"/>
    <w:qFormat/>
    <w:uiPriority w:val="0"/>
    <w:rPr>
      <w:rFonts w:ascii="微软雅黑" w:hAnsi="微软雅黑" w:eastAsia="微软雅黑" w:cs="Times New Roman"/>
      <w:b/>
      <w:kern w:val="0"/>
      <w:sz w:val="36"/>
      <w:szCs w:val="36"/>
    </w:rPr>
  </w:style>
  <w:style w:type="character" w:customStyle="1" w:styleId="44">
    <w:name w:val="批注文字 字符"/>
    <w:basedOn w:val="31"/>
    <w:link w:val="8"/>
    <w:qFormat/>
    <w:uiPriority w:val="0"/>
    <w:rPr>
      <w:szCs w:val="24"/>
    </w:rPr>
  </w:style>
  <w:style w:type="character" w:customStyle="1" w:styleId="45">
    <w:name w:val="正文文本 字符"/>
    <w:basedOn w:val="31"/>
    <w:link w:val="10"/>
    <w:qFormat/>
    <w:uiPriority w:val="1"/>
    <w:rPr>
      <w:szCs w:val="21"/>
    </w:rPr>
  </w:style>
  <w:style w:type="character" w:customStyle="1" w:styleId="46">
    <w:name w:val="批注框文本 字符"/>
    <w:basedOn w:val="31"/>
    <w:link w:val="15"/>
    <w:qFormat/>
    <w:uiPriority w:val="0"/>
    <w:rPr>
      <w:sz w:val="18"/>
      <w:szCs w:val="18"/>
    </w:rPr>
  </w:style>
  <w:style w:type="character" w:customStyle="1" w:styleId="47">
    <w:name w:val="批注主题 字符"/>
    <w:basedOn w:val="44"/>
    <w:link w:val="28"/>
    <w:qFormat/>
    <w:uiPriority w:val="0"/>
    <w:rPr>
      <w:b/>
      <w:bCs/>
      <w:szCs w:val="24"/>
    </w:rPr>
  </w:style>
  <w:style w:type="paragraph" w:customStyle="1" w:styleId="48">
    <w:name w:val="标准文件_术语条一"/>
    <w:basedOn w:val="1"/>
    <w:next w:val="1"/>
    <w:qFormat/>
    <w:uiPriority w:val="0"/>
    <w:pPr>
      <w:widowControl/>
    </w:pPr>
    <w:rPr>
      <w:rFonts w:ascii="宋体" w:hAnsi="Times New Roman" w:eastAsia="宋体" w:cs="Times New Roman"/>
      <w:kern w:val="0"/>
      <w:szCs w:val="20"/>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文件编号"/>
    <w:basedOn w:val="1"/>
    <w:qFormat/>
    <w:uiPriority w:val="0"/>
    <w:pPr>
      <w:framePr w:w="9356" w:h="624" w:hRule="exact" w:hSpace="181" w:vSpace="181" w:wrap="around" w:vAnchor="page" w:hAnchor="page" w:x="1419" w:y="3284"/>
      <w:widowControl/>
      <w:wordWrap w:val="0"/>
      <w:autoSpaceDE w:val="0"/>
      <w:autoSpaceDN w:val="0"/>
      <w:spacing w:line="280" w:lineRule="exact"/>
      <w:jc w:val="right"/>
    </w:pPr>
    <w:rPr>
      <w:rFonts w:ascii="黑体" w:hAnsi="Times New Roman" w:eastAsia="黑体"/>
      <w:bCs/>
      <w:kern w:val="0"/>
      <w:sz w:val="28"/>
      <w:szCs w:val="28"/>
    </w:rPr>
  </w:style>
  <w:style w:type="paragraph" w:customStyle="1" w:styleId="52">
    <w:name w:val="标准文件_替换文件编号"/>
    <w:basedOn w:val="51"/>
    <w:qFormat/>
    <w:uiPriority w:val="0"/>
    <w:pPr>
      <w:framePr w:wrap="around"/>
      <w:spacing w:before="57"/>
    </w:pPr>
    <w:rPr>
      <w:sz w:val="21"/>
    </w:rPr>
  </w:style>
  <w:style w:type="paragraph" w:customStyle="1" w:styleId="5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5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5">
    <w:name w:val="段 Char"/>
    <w:link w:val="21"/>
    <w:qFormat/>
    <w:uiPriority w:val="0"/>
    <w:rPr>
      <w:rFonts w:ascii="宋体" w:hAnsi="Times New Roman" w:eastAsia="宋体" w:cs="Times New Roman"/>
      <w:kern w:val="0"/>
      <w:szCs w:val="20"/>
    </w:rPr>
  </w:style>
  <w:style w:type="paragraph" w:customStyle="1" w:styleId="56">
    <w:name w:val="一级条标题"/>
    <w:next w:val="2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7">
    <w:name w:val="章标题"/>
    <w:next w:val="2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8">
    <w:name w:val="二级条标题"/>
    <w:basedOn w:val="56"/>
    <w:next w:val="21"/>
    <w:qFormat/>
    <w:uiPriority w:val="0"/>
    <w:pPr>
      <w:numPr>
        <w:ilvl w:val="2"/>
      </w:numPr>
      <w:spacing w:before="50" w:after="50"/>
      <w:outlineLvl w:val="3"/>
    </w:pPr>
  </w:style>
  <w:style w:type="paragraph" w:customStyle="1" w:styleId="59">
    <w:name w:val="三级条标题"/>
    <w:basedOn w:val="58"/>
    <w:next w:val="21"/>
    <w:qFormat/>
    <w:uiPriority w:val="0"/>
    <w:pPr>
      <w:numPr>
        <w:ilvl w:val="3"/>
      </w:numPr>
      <w:outlineLvl w:val="4"/>
    </w:pPr>
  </w:style>
  <w:style w:type="paragraph" w:customStyle="1" w:styleId="60">
    <w:name w:val="四级条标题"/>
    <w:basedOn w:val="59"/>
    <w:next w:val="21"/>
    <w:qFormat/>
    <w:uiPriority w:val="0"/>
    <w:pPr>
      <w:numPr>
        <w:ilvl w:val="4"/>
      </w:numPr>
      <w:outlineLvl w:val="5"/>
    </w:pPr>
  </w:style>
  <w:style w:type="paragraph" w:customStyle="1" w:styleId="61">
    <w:name w:val="五级条标题"/>
    <w:basedOn w:val="60"/>
    <w:next w:val="21"/>
    <w:qFormat/>
    <w:uiPriority w:val="0"/>
    <w:pPr>
      <w:numPr>
        <w:ilvl w:val="5"/>
      </w:numPr>
      <w:outlineLvl w:val="6"/>
    </w:pPr>
  </w:style>
  <w:style w:type="paragraph" w:customStyle="1" w:styleId="6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7">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8">
    <w:name w:val="示例"/>
    <w:next w:val="69"/>
    <w:qFormat/>
    <w:uiPriority w:val="0"/>
    <w:pPr>
      <w:widowControl w:val="0"/>
      <w:jc w:val="both"/>
    </w:pPr>
    <w:rPr>
      <w:rFonts w:ascii="宋体" w:hAnsi="Times New Roman" w:eastAsia="宋体" w:cs="Times New Roman"/>
      <w:sz w:val="18"/>
      <w:szCs w:val="18"/>
      <w:lang w:val="en-US" w:eastAsia="zh-CN" w:bidi="ar-SA"/>
    </w:rPr>
  </w:style>
  <w:style w:type="paragraph" w:customStyle="1" w:styleId="6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0">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71">
    <w:name w:val="注："/>
    <w:next w:val="21"/>
    <w:qFormat/>
    <w:uiPriority w:val="0"/>
    <w:pPr>
      <w:widowControl w:val="0"/>
      <w:numPr>
        <w:ilvl w:val="0"/>
        <w:numId w:val="5"/>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2">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73">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4">
    <w:name w:val="列项◆（三级）"/>
    <w:basedOn w:val="1"/>
    <w:qFormat/>
    <w:uiPriority w:val="0"/>
    <w:pPr>
      <w:numPr>
        <w:ilvl w:val="2"/>
        <w:numId w:val="3"/>
      </w:numPr>
    </w:pPr>
    <w:rPr>
      <w:rFonts w:ascii="宋体" w:hAnsi="Times New Roman" w:eastAsia="宋体" w:cs="Times New Roman"/>
      <w:szCs w:val="21"/>
    </w:rPr>
  </w:style>
  <w:style w:type="paragraph" w:customStyle="1" w:styleId="75">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76">
    <w:name w:val="示例×："/>
    <w:basedOn w:val="57"/>
    <w:qFormat/>
    <w:uiPriority w:val="0"/>
    <w:pPr>
      <w:numPr>
        <w:numId w:val="0"/>
      </w:numPr>
      <w:spacing w:before="0" w:beforeLines="0" w:after="0" w:afterLines="0"/>
      <w:ind w:left="811" w:hanging="448"/>
      <w:outlineLvl w:val="9"/>
    </w:pPr>
    <w:rPr>
      <w:rFonts w:ascii="宋体" w:eastAsia="宋体"/>
      <w:sz w:val="18"/>
      <w:szCs w:val="18"/>
    </w:rPr>
  </w:style>
  <w:style w:type="paragraph" w:customStyle="1" w:styleId="77">
    <w:name w:val="二级无"/>
    <w:basedOn w:val="58"/>
    <w:qFormat/>
    <w:uiPriority w:val="0"/>
    <w:pPr>
      <w:numPr>
        <w:numId w:val="7"/>
      </w:numPr>
      <w:tabs>
        <w:tab w:val="left" w:pos="1418"/>
      </w:tabs>
      <w:spacing w:before="0" w:beforeLines="0" w:after="0" w:afterLines="0"/>
      <w:ind w:left="0"/>
    </w:pPr>
    <w:rPr>
      <w:rFonts w:ascii="宋体" w:eastAsia="宋体"/>
    </w:rPr>
  </w:style>
  <w:style w:type="paragraph" w:customStyle="1" w:styleId="78">
    <w:name w:val="注：（正文）"/>
    <w:basedOn w:val="71"/>
    <w:next w:val="21"/>
    <w:qFormat/>
    <w:uiPriority w:val="0"/>
  </w:style>
  <w:style w:type="paragraph" w:customStyle="1" w:styleId="79">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8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1">
    <w:name w:val="标准书眉_偶数页"/>
    <w:basedOn w:val="63"/>
    <w:next w:val="1"/>
    <w:qFormat/>
    <w:uiPriority w:val="0"/>
    <w:pPr>
      <w:jc w:val="left"/>
    </w:p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paragraph" w:customStyle="1" w:styleId="83">
    <w:name w:val="参考文献"/>
    <w:basedOn w:val="1"/>
    <w:next w:val="21"/>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4">
    <w:name w:val="参考文献、索引标题"/>
    <w:basedOn w:val="1"/>
    <w:next w:val="21"/>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5">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0">
    <w:name w:val="封面一致性程度标识"/>
    <w:basedOn w:val="53"/>
    <w:qFormat/>
    <w:uiPriority w:val="0"/>
    <w:pPr>
      <w:framePr w:w="9639" w:h="6917" w:hRule="exact" w:wrap="around" w:vAnchor="page" w:hAnchor="page" w:xAlign="center" w:y="6408" w:anchorLock="1"/>
      <w:spacing w:before="440" w:line="400" w:lineRule="exact"/>
      <w:textAlignment w:val="center"/>
    </w:pPr>
    <w:rPr>
      <w:rFonts w:ascii="宋体"/>
      <w:szCs w:val="28"/>
    </w:rPr>
  </w:style>
  <w:style w:type="paragraph" w:customStyle="1" w:styleId="91">
    <w:name w:val="封面标准文稿类别"/>
    <w:basedOn w:val="90"/>
    <w:qFormat/>
    <w:uiPriority w:val="0"/>
    <w:pPr>
      <w:framePr w:wrap="around"/>
      <w:spacing w:after="160" w:line="240" w:lineRule="auto"/>
    </w:pPr>
    <w:rPr>
      <w:sz w:val="24"/>
    </w:rPr>
  </w:style>
  <w:style w:type="paragraph" w:customStyle="1" w:styleId="92">
    <w:name w:val="封面标准文稿编辑信息"/>
    <w:basedOn w:val="91"/>
    <w:qFormat/>
    <w:uiPriority w:val="0"/>
    <w:pPr>
      <w:framePr w:wrap="around"/>
      <w:spacing w:before="180" w:line="180" w:lineRule="exact"/>
    </w:pPr>
    <w:rPr>
      <w:sz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附录标识"/>
    <w:basedOn w:val="1"/>
    <w:next w:val="21"/>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5">
    <w:name w:val="附录标题"/>
    <w:basedOn w:val="21"/>
    <w:next w:val="21"/>
    <w:qFormat/>
    <w:uiPriority w:val="0"/>
    <w:pPr>
      <w:ind w:firstLine="0" w:firstLineChars="0"/>
      <w:jc w:val="center"/>
    </w:pPr>
    <w:rPr>
      <w:rFonts w:ascii="黑体" w:eastAsia="黑体"/>
    </w:rPr>
  </w:style>
  <w:style w:type="paragraph" w:customStyle="1" w:styleId="96">
    <w:name w:val="附录表标号"/>
    <w:basedOn w:val="1"/>
    <w:next w:val="21"/>
    <w:qFormat/>
    <w:uiPriority w:val="0"/>
    <w:pPr>
      <w:numPr>
        <w:ilvl w:val="0"/>
        <w:numId w:val="10"/>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7">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hAnsi="Times New Roman" w:eastAsia="黑体" w:cs="Times New Roman"/>
      <w:szCs w:val="21"/>
    </w:rPr>
  </w:style>
  <w:style w:type="paragraph" w:customStyle="1" w:styleId="98">
    <w:name w:val="附录二级条标题"/>
    <w:basedOn w:val="1"/>
    <w:next w:val="21"/>
    <w:qFormat/>
    <w:uiPriority w:val="0"/>
    <w:pPr>
      <w:widowControl/>
      <w:numPr>
        <w:ilvl w:val="3"/>
        <w:numId w:val="9"/>
      </w:numPr>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99">
    <w:name w:val="附录二级无"/>
    <w:basedOn w:val="98"/>
    <w:qFormat/>
    <w:uiPriority w:val="0"/>
    <w:pPr>
      <w:tabs>
        <w:tab w:val="clear" w:pos="360"/>
      </w:tabs>
      <w:spacing w:before="0" w:beforeLines="0" w:after="0" w:afterLines="0"/>
    </w:pPr>
    <w:rPr>
      <w:rFonts w:ascii="宋体" w:eastAsia="宋体"/>
      <w:szCs w:val="21"/>
    </w:rPr>
  </w:style>
  <w:style w:type="paragraph" w:customStyle="1" w:styleId="100">
    <w:name w:val="附录公式"/>
    <w:basedOn w:val="21"/>
    <w:next w:val="21"/>
    <w:link w:val="101"/>
    <w:qFormat/>
    <w:uiPriority w:val="0"/>
  </w:style>
  <w:style w:type="character" w:customStyle="1" w:styleId="101">
    <w:name w:val="附录公式 Char"/>
    <w:basedOn w:val="55"/>
    <w:link w:val="100"/>
    <w:qFormat/>
    <w:uiPriority w:val="0"/>
    <w:rPr>
      <w:rFonts w:ascii="宋体" w:hAnsi="Times New Roman" w:eastAsia="宋体" w:cs="Times New Roman"/>
      <w:kern w:val="0"/>
      <w:szCs w:val="20"/>
    </w:rPr>
  </w:style>
  <w:style w:type="paragraph" w:customStyle="1" w:styleId="102">
    <w:name w:val="附录公式编号制表符"/>
    <w:basedOn w:val="1"/>
    <w:next w:val="21"/>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03">
    <w:name w:val="附录三级条标题"/>
    <w:basedOn w:val="98"/>
    <w:next w:val="21"/>
    <w:qFormat/>
    <w:uiPriority w:val="0"/>
    <w:pPr>
      <w:numPr>
        <w:ilvl w:val="4"/>
      </w:numPr>
      <w:outlineLvl w:val="4"/>
    </w:pPr>
  </w:style>
  <w:style w:type="paragraph" w:customStyle="1" w:styleId="104">
    <w:name w:val="附录三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6">
    <w:name w:val="附录四级条标题"/>
    <w:basedOn w:val="103"/>
    <w:next w:val="21"/>
    <w:qFormat/>
    <w:uiPriority w:val="0"/>
    <w:pPr>
      <w:numPr>
        <w:ilvl w:val="5"/>
      </w:numPr>
      <w:outlineLvl w:val="5"/>
    </w:pPr>
  </w:style>
  <w:style w:type="paragraph" w:customStyle="1" w:styleId="107">
    <w:name w:val="附录四级无"/>
    <w:basedOn w:val="106"/>
    <w:qFormat/>
    <w:uiPriority w:val="0"/>
    <w:pPr>
      <w:tabs>
        <w:tab w:val="clear" w:pos="360"/>
      </w:tabs>
      <w:spacing w:before="0" w:beforeLines="0" w:after="0" w:afterLines="0"/>
    </w:pPr>
    <w:rPr>
      <w:rFonts w:ascii="宋体" w:eastAsia="宋体"/>
      <w:szCs w:val="21"/>
    </w:rPr>
  </w:style>
  <w:style w:type="paragraph" w:customStyle="1" w:styleId="108">
    <w:name w:val="附录图标号"/>
    <w:basedOn w:val="1"/>
    <w:qFormat/>
    <w:uiPriority w:val="0"/>
    <w:pPr>
      <w:keepNext/>
      <w:pageBreakBefore/>
      <w:widowControl/>
      <w:numPr>
        <w:ilvl w:val="0"/>
        <w:numId w:val="12"/>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9">
    <w:name w:val="附录图标题"/>
    <w:basedOn w:val="1"/>
    <w:next w:val="21"/>
    <w:qFormat/>
    <w:uiPriority w:val="0"/>
    <w:pPr>
      <w:numPr>
        <w:ilvl w:val="1"/>
        <w:numId w:val="12"/>
      </w:numPr>
      <w:tabs>
        <w:tab w:val="left" w:pos="363"/>
      </w:tabs>
      <w:spacing w:before="50" w:beforeLines="50" w:after="50" w:afterLines="50"/>
      <w:ind w:left="0" w:firstLine="0"/>
      <w:jc w:val="center"/>
    </w:pPr>
    <w:rPr>
      <w:rFonts w:ascii="黑体" w:hAnsi="Times New Roman" w:eastAsia="黑体" w:cs="Times New Roman"/>
      <w:szCs w:val="21"/>
    </w:rPr>
  </w:style>
  <w:style w:type="paragraph" w:customStyle="1" w:styleId="110">
    <w:name w:val="附录五级条标题"/>
    <w:basedOn w:val="106"/>
    <w:next w:val="21"/>
    <w:qFormat/>
    <w:uiPriority w:val="0"/>
    <w:pPr>
      <w:numPr>
        <w:ilvl w:val="6"/>
      </w:numPr>
      <w:outlineLvl w:val="6"/>
    </w:pPr>
  </w:style>
  <w:style w:type="paragraph" w:customStyle="1" w:styleId="111">
    <w:name w:val="附录五级无"/>
    <w:basedOn w:val="110"/>
    <w:qFormat/>
    <w:uiPriority w:val="0"/>
    <w:pPr>
      <w:tabs>
        <w:tab w:val="clear" w:pos="360"/>
      </w:tabs>
      <w:spacing w:before="0" w:beforeLines="0" w:after="0" w:afterLines="0"/>
    </w:pPr>
    <w:rPr>
      <w:rFonts w:ascii="宋体" w:eastAsia="宋体"/>
      <w:szCs w:val="21"/>
    </w:rPr>
  </w:style>
  <w:style w:type="paragraph" w:customStyle="1" w:styleId="112">
    <w:name w:val="附录章标题"/>
    <w:next w:val="21"/>
    <w:qFormat/>
    <w:uiPriority w:val="0"/>
    <w:pPr>
      <w:numPr>
        <w:ilvl w:val="1"/>
        <w:numId w:val="9"/>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3">
    <w:name w:val="附录一级条标题"/>
    <w:basedOn w:val="112"/>
    <w:next w:val="21"/>
    <w:qFormat/>
    <w:uiPriority w:val="0"/>
    <w:pPr>
      <w:numPr>
        <w:ilvl w:val="2"/>
      </w:numPr>
      <w:autoSpaceDN w:val="0"/>
      <w:spacing w:before="50" w:beforeLines="50" w:after="50" w:afterLines="50"/>
      <w:outlineLvl w:val="2"/>
    </w:pPr>
  </w:style>
  <w:style w:type="paragraph" w:customStyle="1" w:styleId="114">
    <w:name w:val="附录一级无"/>
    <w:basedOn w:val="113"/>
    <w:qFormat/>
    <w:uiPriority w:val="0"/>
    <w:pPr>
      <w:tabs>
        <w:tab w:val="clear" w:pos="360"/>
      </w:tabs>
      <w:spacing w:before="0" w:beforeLines="0" w:after="0" w:afterLines="0"/>
    </w:pPr>
    <w:rPr>
      <w:rFonts w:ascii="宋体" w:eastAsia="宋体"/>
      <w:szCs w:val="21"/>
    </w:rPr>
  </w:style>
  <w:style w:type="paragraph" w:customStyle="1" w:styleId="115">
    <w:name w:val="附录字母编号列项（一级）"/>
    <w:qFormat/>
    <w:uiPriority w:val="0"/>
    <w:pPr>
      <w:numPr>
        <w:ilvl w:val="0"/>
        <w:numId w:val="11"/>
      </w:numPr>
    </w:pPr>
    <w:rPr>
      <w:rFonts w:ascii="宋体" w:hAnsi="Times New Roman" w:eastAsia="宋体" w:cs="Times New Roman"/>
      <w:sz w:val="21"/>
      <w:lang w:val="en-US" w:eastAsia="zh-CN" w:bidi="ar-SA"/>
    </w:rPr>
  </w:style>
  <w:style w:type="character" w:customStyle="1" w:styleId="116">
    <w:name w:val="脚注文本 字符"/>
    <w:basedOn w:val="31"/>
    <w:qFormat/>
    <w:uiPriority w:val="0"/>
    <w:rPr>
      <w:sz w:val="18"/>
      <w:szCs w:val="18"/>
    </w:rPr>
  </w:style>
  <w:style w:type="paragraph" w:customStyle="1" w:styleId="117">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1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0">
    <w:name w:val="其他标准标志"/>
    <w:basedOn w:val="49"/>
    <w:qFormat/>
    <w:uiPriority w:val="0"/>
    <w:pPr>
      <w:framePr w:w="6101" w:h="1389" w:hRule="exact" w:hSpace="181" w:vSpace="181" w:wrap="around" w:vAnchor="page" w:hAnchor="page" w:x="4673" w:y="942"/>
    </w:pPr>
    <w:rPr>
      <w:szCs w:val="96"/>
    </w:rPr>
  </w:style>
  <w:style w:type="paragraph" w:customStyle="1" w:styleId="1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2">
    <w:name w:val="其他发布部门"/>
    <w:basedOn w:val="85"/>
    <w:qFormat/>
    <w:uiPriority w:val="0"/>
    <w:pPr>
      <w:framePr w:wrap="around" w:y="15310"/>
      <w:spacing w:line="0" w:lineRule="atLeast"/>
    </w:pPr>
    <w:rPr>
      <w:rFonts w:ascii="黑体" w:eastAsia="黑体"/>
      <w:b w:val="0"/>
    </w:rPr>
  </w:style>
  <w:style w:type="paragraph" w:customStyle="1" w:styleId="123">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4">
    <w:name w:val="三级无"/>
    <w:basedOn w:val="59"/>
    <w:qFormat/>
    <w:uiPriority w:val="0"/>
    <w:pPr>
      <w:numPr>
        <w:numId w:val="7"/>
      </w:numPr>
      <w:tabs>
        <w:tab w:val="left" w:pos="1984"/>
      </w:tabs>
      <w:spacing w:before="0" w:beforeLines="0" w:after="0" w:afterLines="0"/>
    </w:pPr>
    <w:rPr>
      <w:rFonts w:ascii="宋体" w:eastAsia="宋体"/>
    </w:rPr>
  </w:style>
  <w:style w:type="paragraph" w:customStyle="1" w:styleId="125">
    <w:name w:val="实施日期"/>
    <w:basedOn w:val="86"/>
    <w:qFormat/>
    <w:uiPriority w:val="0"/>
    <w:pPr>
      <w:framePr w:wrap="around" w:vAnchor="page" w:hAnchor="text"/>
      <w:jc w:val="right"/>
    </w:pPr>
  </w:style>
  <w:style w:type="paragraph" w:customStyle="1" w:styleId="126">
    <w:name w:val="示例后文字"/>
    <w:basedOn w:val="21"/>
    <w:next w:val="21"/>
    <w:qFormat/>
    <w:uiPriority w:val="0"/>
    <w:pPr>
      <w:ind w:firstLine="360"/>
    </w:pPr>
    <w:rPr>
      <w:sz w:val="18"/>
    </w:rPr>
  </w:style>
  <w:style w:type="paragraph" w:customStyle="1" w:styleId="127">
    <w:name w:val="首示例"/>
    <w:next w:val="21"/>
    <w:link w:val="128"/>
    <w:qFormat/>
    <w:uiPriority w:val="0"/>
    <w:pPr>
      <w:tabs>
        <w:tab w:val="left" w:pos="360"/>
      </w:tabs>
      <w:ind w:left="623"/>
    </w:pPr>
    <w:rPr>
      <w:rFonts w:ascii="宋体" w:hAnsi="宋体" w:eastAsia="宋体" w:cs="Times New Roman"/>
      <w:kern w:val="2"/>
      <w:sz w:val="18"/>
      <w:szCs w:val="18"/>
      <w:lang w:val="en-US" w:eastAsia="zh-CN" w:bidi="ar-SA"/>
    </w:rPr>
  </w:style>
  <w:style w:type="character" w:customStyle="1" w:styleId="128">
    <w:name w:val="首示例 Char"/>
    <w:link w:val="127"/>
    <w:qFormat/>
    <w:uiPriority w:val="0"/>
    <w:rPr>
      <w:rFonts w:ascii="宋体" w:hAnsi="宋体" w:eastAsia="宋体" w:cs="Times New Roman"/>
      <w:sz w:val="18"/>
      <w:szCs w:val="18"/>
    </w:rPr>
  </w:style>
  <w:style w:type="paragraph" w:customStyle="1" w:styleId="129">
    <w:name w:val="四级无"/>
    <w:basedOn w:val="60"/>
    <w:qFormat/>
    <w:uiPriority w:val="0"/>
    <w:pPr>
      <w:numPr>
        <w:ilvl w:val="0"/>
        <w:numId w:val="13"/>
      </w:numPr>
      <w:spacing w:before="0" w:beforeLines="0" w:after="0" w:afterLines="0"/>
      <w:ind w:firstLine="0"/>
    </w:pPr>
    <w:rPr>
      <w:rFonts w:ascii="宋体" w:eastAsia="宋体"/>
    </w:rPr>
  </w:style>
  <w:style w:type="paragraph" w:customStyle="1" w:styleId="130">
    <w:name w:val="条文脚注"/>
    <w:basedOn w:val="22"/>
    <w:qFormat/>
    <w:uiPriority w:val="0"/>
    <w:pPr>
      <w:numPr>
        <w:numId w:val="0"/>
      </w:numPr>
      <w:jc w:val="both"/>
    </w:pPr>
  </w:style>
  <w:style w:type="paragraph" w:customStyle="1" w:styleId="131">
    <w:name w:val="图标脚注说明"/>
    <w:basedOn w:val="21"/>
    <w:qFormat/>
    <w:uiPriority w:val="0"/>
    <w:pPr>
      <w:ind w:left="840" w:hanging="420" w:firstLineChars="0"/>
    </w:pPr>
    <w:rPr>
      <w:sz w:val="18"/>
      <w:szCs w:val="18"/>
    </w:rPr>
  </w:style>
  <w:style w:type="paragraph" w:customStyle="1" w:styleId="132">
    <w:name w:val="图表脚注说明"/>
    <w:basedOn w:val="1"/>
    <w:qFormat/>
    <w:uiPriority w:val="0"/>
    <w:pPr>
      <w:tabs>
        <w:tab w:val="left" w:pos="839"/>
      </w:tabs>
      <w:ind w:left="839" w:hanging="419"/>
    </w:pPr>
    <w:rPr>
      <w:rFonts w:ascii="宋体" w:hAnsi="Times New Roman" w:eastAsia="宋体" w:cs="Times New Roman"/>
      <w:sz w:val="18"/>
      <w:szCs w:val="18"/>
    </w:rPr>
  </w:style>
  <w:style w:type="paragraph" w:customStyle="1" w:styleId="133">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4">
    <w:name w:val="尾注文本 字符"/>
    <w:basedOn w:val="31"/>
    <w:qFormat/>
    <w:uiPriority w:val="0"/>
  </w:style>
  <w:style w:type="character" w:customStyle="1" w:styleId="135">
    <w:name w:val="文档结构图 字符"/>
    <w:basedOn w:val="31"/>
    <w:qFormat/>
    <w:uiPriority w:val="0"/>
    <w:rPr>
      <w:rFonts w:ascii="Microsoft YaHei UI" w:eastAsia="Microsoft YaHei UI"/>
      <w:sz w:val="18"/>
      <w:szCs w:val="18"/>
    </w:rPr>
  </w:style>
  <w:style w:type="paragraph" w:customStyle="1" w:styleId="13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7">
    <w:name w:val="五级无"/>
    <w:basedOn w:val="61"/>
    <w:qFormat/>
    <w:uiPriority w:val="0"/>
    <w:pPr>
      <w:numPr>
        <w:numId w:val="7"/>
      </w:numPr>
      <w:tabs>
        <w:tab w:val="left" w:pos="3260"/>
      </w:tabs>
      <w:spacing w:before="0" w:beforeLines="0" w:after="0" w:afterLines="0"/>
    </w:pPr>
    <w:rPr>
      <w:rFonts w:ascii="宋体" w:eastAsia="宋体"/>
    </w:rPr>
  </w:style>
  <w:style w:type="paragraph" w:customStyle="1" w:styleId="138">
    <w:name w:val="一级无"/>
    <w:basedOn w:val="56"/>
    <w:qFormat/>
    <w:uiPriority w:val="0"/>
    <w:pPr>
      <w:numPr>
        <w:numId w:val="7"/>
      </w:numPr>
      <w:tabs>
        <w:tab w:val="left" w:pos="992"/>
      </w:tabs>
      <w:spacing w:before="0" w:beforeLines="0" w:after="0" w:afterLines="0"/>
    </w:pPr>
    <w:rPr>
      <w:rFonts w:ascii="宋体" w:eastAsia="宋体"/>
    </w:rPr>
  </w:style>
  <w:style w:type="paragraph" w:customStyle="1" w:styleId="139">
    <w:name w:val="正文表标题"/>
    <w:next w:val="21"/>
    <w:qFormat/>
    <w:uiPriority w:val="0"/>
    <w:pPr>
      <w:tabs>
        <w:tab w:val="left" w:pos="360"/>
      </w:tabs>
      <w:spacing w:before="156" w:beforeLines="50" w:after="156" w:afterLines="50"/>
      <w:ind w:firstLine="397"/>
      <w:jc w:val="center"/>
    </w:pPr>
    <w:rPr>
      <w:rFonts w:ascii="黑体" w:hAnsi="Times New Roman" w:eastAsia="黑体" w:cs="Times New Roman"/>
      <w:sz w:val="21"/>
      <w:lang w:val="en-US" w:eastAsia="zh-CN" w:bidi="ar-SA"/>
    </w:rPr>
  </w:style>
  <w:style w:type="paragraph" w:customStyle="1" w:styleId="140">
    <w:name w:val="正文公式编号制表符"/>
    <w:basedOn w:val="21"/>
    <w:next w:val="21"/>
    <w:qFormat/>
    <w:uiPriority w:val="0"/>
    <w:pPr>
      <w:ind w:firstLine="0" w:firstLineChars="0"/>
    </w:pPr>
  </w:style>
  <w:style w:type="paragraph" w:customStyle="1" w:styleId="141">
    <w:name w:val="正文图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2">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43">
    <w:name w:val="其他发布日期"/>
    <w:basedOn w:val="86"/>
    <w:qFormat/>
    <w:uiPriority w:val="0"/>
    <w:pPr>
      <w:framePr w:wrap="around" w:vAnchor="page" w:hAnchor="text" w:x="1419"/>
      <w:numPr>
        <w:ilvl w:val="0"/>
        <w:numId w:val="14"/>
      </w:numPr>
    </w:pPr>
  </w:style>
  <w:style w:type="paragraph" w:customStyle="1" w:styleId="144">
    <w:name w:val="其他实施日期"/>
    <w:basedOn w:val="125"/>
    <w:qFormat/>
    <w:uiPriority w:val="0"/>
    <w:pPr>
      <w:framePr w:wrap="around"/>
    </w:pPr>
  </w:style>
  <w:style w:type="paragraph" w:customStyle="1" w:styleId="145">
    <w:name w:val="封面标准名称2"/>
    <w:basedOn w:val="89"/>
    <w:qFormat/>
    <w:uiPriority w:val="0"/>
    <w:pPr>
      <w:framePr w:wrap="around" w:y="4469"/>
      <w:spacing w:before="630" w:beforeLines="630"/>
    </w:pPr>
  </w:style>
  <w:style w:type="paragraph" w:customStyle="1" w:styleId="146">
    <w:name w:val="封面标准英文名称2"/>
    <w:basedOn w:val="53"/>
    <w:qFormat/>
    <w:uiPriority w:val="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147">
    <w:name w:val="封面一致性程度标识2"/>
    <w:basedOn w:val="90"/>
    <w:qFormat/>
    <w:uiPriority w:val="0"/>
    <w:pPr>
      <w:framePr w:wrap="around" w:y="4469"/>
    </w:pPr>
  </w:style>
  <w:style w:type="paragraph" w:customStyle="1" w:styleId="148">
    <w:name w:val="封面标准文稿类别2"/>
    <w:basedOn w:val="91"/>
    <w:qFormat/>
    <w:uiPriority w:val="0"/>
    <w:pPr>
      <w:framePr w:wrap="around" w:y="4469"/>
    </w:pPr>
  </w:style>
  <w:style w:type="paragraph" w:customStyle="1" w:styleId="149">
    <w:name w:val="封面标准文稿编辑信息2"/>
    <w:basedOn w:val="92"/>
    <w:qFormat/>
    <w:uiPriority w:val="0"/>
    <w:pPr>
      <w:framePr w:wrap="around" w:y="4469"/>
    </w:pPr>
  </w:style>
  <w:style w:type="character" w:customStyle="1" w:styleId="150">
    <w:name w:val="页脚 Char"/>
    <w:qFormat/>
    <w:uiPriority w:val="99"/>
    <w:rPr>
      <w:kern w:val="2"/>
      <w:sz w:val="18"/>
      <w:szCs w:val="18"/>
    </w:rPr>
  </w:style>
  <w:style w:type="character" w:customStyle="1" w:styleId="151">
    <w:name w:val="页眉 Char"/>
    <w:qFormat/>
    <w:uiPriority w:val="0"/>
    <w:rPr>
      <w:kern w:val="2"/>
      <w:sz w:val="18"/>
      <w:szCs w:val="18"/>
    </w:rPr>
  </w:style>
  <w:style w:type="character" w:customStyle="1" w:styleId="152">
    <w:name w:val="脚注文本 字符1"/>
    <w:link w:val="22"/>
    <w:qFormat/>
    <w:uiPriority w:val="0"/>
    <w:rPr>
      <w:rFonts w:ascii="宋体" w:hAnsi="Times New Roman" w:eastAsia="宋体" w:cs="Times New Roman"/>
      <w:sz w:val="18"/>
      <w:szCs w:val="18"/>
    </w:rPr>
  </w:style>
  <w:style w:type="table" w:customStyle="1" w:styleId="153">
    <w:name w:val="网格型1"/>
    <w:basedOn w:val="29"/>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4">
    <w:name w:val="尾注文本 字符1"/>
    <w:link w:val="14"/>
    <w:qFormat/>
    <w:uiPriority w:val="0"/>
    <w:rPr>
      <w:rFonts w:ascii="Times New Roman" w:hAnsi="Times New Roman" w:eastAsia="宋体" w:cs="Times New Roman"/>
      <w:szCs w:val="24"/>
    </w:rPr>
  </w:style>
  <w:style w:type="character" w:customStyle="1" w:styleId="155">
    <w:name w:val="文档结构图 字符1"/>
    <w:link w:val="7"/>
    <w:qFormat/>
    <w:uiPriority w:val="0"/>
    <w:rPr>
      <w:rFonts w:ascii="Times New Roman" w:hAnsi="Times New Roman" w:eastAsia="宋体" w:cs="Times New Roman"/>
      <w:szCs w:val="24"/>
      <w:shd w:val="clear" w:color="auto" w:fill="000080"/>
    </w:rPr>
  </w:style>
  <w:style w:type="character" w:customStyle="1" w:styleId="156">
    <w:name w:val="批注框文本 Char"/>
    <w:qFormat/>
    <w:uiPriority w:val="0"/>
    <w:rPr>
      <w:kern w:val="2"/>
      <w:sz w:val="18"/>
      <w:szCs w:val="18"/>
    </w:rPr>
  </w:style>
  <w:style w:type="character" w:customStyle="1" w:styleId="157">
    <w:name w:val="批注文字 Char"/>
    <w:qFormat/>
    <w:uiPriority w:val="99"/>
    <w:rPr>
      <w:kern w:val="2"/>
      <w:sz w:val="21"/>
      <w:szCs w:val="24"/>
    </w:rPr>
  </w:style>
  <w:style w:type="character" w:customStyle="1" w:styleId="158">
    <w:name w:val="批注主题 Char"/>
    <w:qFormat/>
    <w:uiPriority w:val="99"/>
    <w:rPr>
      <w:b/>
      <w:bCs/>
      <w:kern w:val="2"/>
      <w:sz w:val="21"/>
      <w:szCs w:val="24"/>
    </w:rPr>
  </w:style>
  <w:style w:type="paragraph" w:styleId="159">
    <w:name w:val="List Paragraph"/>
    <w:basedOn w:val="1"/>
    <w:qFormat/>
    <w:uiPriority w:val="99"/>
    <w:pPr>
      <w:ind w:firstLine="420" w:firstLineChars="200"/>
    </w:pPr>
    <w:rPr>
      <w:szCs w:val="24"/>
    </w:rPr>
  </w:style>
  <w:style w:type="paragraph" w:customStyle="1" w:styleId="160">
    <w:name w:val="标题2"/>
    <w:basedOn w:val="1"/>
    <w:next w:val="1"/>
    <w:qFormat/>
    <w:uiPriority w:val="0"/>
    <w:pPr>
      <w:numPr>
        <w:ilvl w:val="1"/>
        <w:numId w:val="15"/>
      </w:numPr>
      <w:ind w:firstLine="200"/>
      <w:outlineLvl w:val="1"/>
    </w:pPr>
    <w:rPr>
      <w:rFonts w:ascii="黑体" w:hAnsi="黑体" w:eastAsia="黑体" w:cs="Times New Roman"/>
      <w:szCs w:val="21"/>
    </w:rPr>
  </w:style>
  <w:style w:type="paragraph" w:customStyle="1" w:styleId="161">
    <w:name w:val="标题3"/>
    <w:basedOn w:val="1"/>
    <w:qFormat/>
    <w:uiPriority w:val="0"/>
    <w:pPr>
      <w:numPr>
        <w:ilvl w:val="2"/>
        <w:numId w:val="15"/>
      </w:numPr>
      <w:spacing w:before="50" w:beforeLines="50" w:after="50" w:afterLines="50"/>
      <w:ind w:firstLine="200"/>
      <w:outlineLvl w:val="2"/>
    </w:pPr>
    <w:rPr>
      <w:rFonts w:ascii="Times New Roman" w:hAnsi="Times New Roman" w:eastAsia="黑体" w:cs="Times New Roman"/>
      <w:szCs w:val="24"/>
    </w:rPr>
  </w:style>
  <w:style w:type="paragraph" w:customStyle="1" w:styleId="162">
    <w:name w:val="修订2"/>
    <w:hidden/>
    <w:semiHidden/>
    <w:uiPriority w:val="99"/>
    <w:rPr>
      <w:rFonts w:asciiTheme="minorHAnsi" w:hAnsiTheme="minorHAnsi" w:eastAsiaTheme="minorEastAsia" w:cstheme="minorBidi"/>
      <w:kern w:val="2"/>
      <w:sz w:val="21"/>
      <w:szCs w:val="22"/>
      <w:lang w:val="en-US" w:eastAsia="zh-CN" w:bidi="ar-SA"/>
    </w:rPr>
  </w:style>
  <w:style w:type="paragraph" w:customStyle="1" w:styleId="163">
    <w:name w:val="TOC Heading"/>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color w:val="376092"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D4A37-0C79-4BCC-BD98-009A3E170A69}">
  <ds:schemaRefs/>
</ds:datastoreItem>
</file>

<file path=docProps/app.xml><?xml version="1.0" encoding="utf-8"?>
<Properties xmlns="http://schemas.openxmlformats.org/officeDocument/2006/extended-properties" xmlns:vt="http://schemas.openxmlformats.org/officeDocument/2006/docPropsVTypes">
  <Template>Normal</Template>
  <Pages>24</Pages>
  <Words>3061</Words>
  <Characters>17452</Characters>
  <Lines>145</Lines>
  <Paragraphs>40</Paragraphs>
  <TotalTime>27</TotalTime>
  <ScaleCrop>false</ScaleCrop>
  <LinksUpToDate>false</LinksUpToDate>
  <CharactersWithSpaces>20473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2023-10-15T10:55:00Z</dcterms:created>
  <dc:creator>guo</dc:creator>
  <cp:lastModifiedBy>admin</cp:lastModifiedBy>
  <dcterms:modified xsi:type="dcterms:W3CDTF">2023-10-16T06:35:50Z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535BD5296F5241D4B86A7D6D20909B99_13</vt:lpwstr>
  </property>
</Properties>
</file>