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6"/>
      </w:pPr>
      <w:bookmarkStart w:id="0" w:name="标准封面"/>
      <w:bookmarkEnd w:id="0"/>
      <w:r>
        <mc:AlternateContent>
          <mc:Choice Requires="wps">
            <w:drawing>
              <wp:anchor distT="0" distB="0" distL="114300" distR="114300" simplePos="0" relativeHeight="251660288" behindDoc="0" locked="0" layoutInCell="1" allowOverlap="1">
                <wp:simplePos x="0" y="0"/>
                <wp:positionH relativeFrom="page">
                  <wp:posOffset>3024505</wp:posOffset>
                </wp:positionH>
                <wp:positionV relativeFrom="page">
                  <wp:posOffset>467995</wp:posOffset>
                </wp:positionV>
                <wp:extent cx="3960495" cy="914400"/>
                <wp:effectExtent l="0" t="0" r="1905" b="0"/>
                <wp:wrapNone/>
                <wp:docPr id="14" name="首页自画框图3"/>
                <wp:cNvGraphicFramePr/>
                <a:graphic xmlns:a="http://schemas.openxmlformats.org/drawingml/2006/main">
                  <a:graphicData uri="http://schemas.microsoft.com/office/word/2010/wordprocessingShape">
                    <wps:wsp>
                      <wps:cNvSpPr txBox="1"/>
                      <wps:spPr>
                        <a:xfrm>
                          <a:off x="0" y="0"/>
                          <a:ext cx="3960495"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96"/>
                              <w:jc w:val="center"/>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3" o:spid="_x0000_s1026" o:spt="202" type="#_x0000_t202" style="position:absolute;left:0pt;margin-left:238.15pt;margin-top:36.85pt;height:72pt;width:311.85pt;mso-position-horizontal-relative:page;mso-position-vertical-relative:page;z-index:251660288;mso-width-relative:page;mso-height-relative:page;" fillcolor="#FFFFFF [3201]" filled="t" stroked="f" coordsize="21600,21600" o:gfxdata="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Eg+qPaAAAACwEAAA8AAAAAAAAAAQAgAAAAIgAAAGRycy9kb3ducmV2LnhtbFBLAQIUABQAAAAI&#10;AIdO4kBPD8XvXQIAAIwEAAAOAAAAAAAAAAEAIAAAACkBAABkcnMvZTJvRG9jLnhtbFBLBQYAAAAA&#10;BgAGAFkBAAD4BQAAAAA=&#10;">
                <v:fill on="t" focussize="0,0"/>
                <v:stroke on="f" weight="0.5pt"/>
                <v:imagedata o:title=""/>
                <o:lock v:ext="edit" aspectratio="f"/>
                <v:textbox inset="0mm,0mm,2.54mm,0mm">
                  <w:txbxContent>
                    <w:p>
                      <w:pPr>
                        <w:pStyle w:val="496"/>
                        <w:jc w:val="cente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360045</wp:posOffset>
                </wp:positionV>
                <wp:extent cx="1800225" cy="720090"/>
                <wp:effectExtent l="0" t="0" r="13335" b="1143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33"/>
                            </w:pPr>
                          </w:p>
                          <w:p>
                            <w:pPr>
                              <w:pStyle w:val="333"/>
                            </w:pPr>
                          </w:p>
                          <w:p>
                            <w:pPr>
                              <w:pStyle w:val="333"/>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2" o:spid="_x0000_s1026" o:spt="202" type="#_x0000_t202" style="position:absolute;left:0pt;margin-left:70.9pt;margin-top:28.35pt;height:56.7pt;width:141.75pt;mso-position-horizontal-relative:page;mso-position-vertical-relative:page;z-index:251659264;mso-width-relative:page;mso-height-relative:page;" fillcolor="#FFFFFF [3201]" filled="t" stroked="f" coordsize="21600,21600" o:gfxdata="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FK6IIdkAAAAKAQAADwAAAAAAAAABACAAAAAiAAAAZHJzL2Rvd25yZXYueG1sUEsBAhQAFAAAAAgA&#10;h07iQNGhMwFdAgAAjAQAAA4AAAAAAAAAAQAgAAAAKAEAAGRycy9lMm9Eb2MueG1sUEsFBgAAAAAG&#10;AAYAWQEAAPcFAAAAAA==&#10;">
                <v:fill on="t" focussize="0,0"/>
                <v:stroke on="f" weight="0.5pt"/>
                <v:imagedata o:title=""/>
                <o:lock v:ext="edit" aspectratio="f"/>
                <v:textbox inset="0mm,0mm,2.54mm,0mm">
                  <w:txbxContent>
                    <w:p>
                      <w:pPr>
                        <w:pStyle w:val="333"/>
                      </w:pPr>
                    </w:p>
                    <w:p>
                      <w:pPr>
                        <w:pStyle w:val="333"/>
                      </w:pPr>
                    </w:p>
                    <w:p>
                      <w:pPr>
                        <w:pStyle w:val="333"/>
                      </w:pPr>
                    </w:p>
                  </w:txbxContent>
                </v:textbox>
              </v:shape>
            </w:pict>
          </mc:Fallback>
        </mc:AlternateContent>
      </w:r>
    </w:p>
    <w:p>
      <w:pPr>
        <w:pStyle w:val="258"/>
        <w:ind w:firstLine="420"/>
      </w:pPr>
      <w:r>
        <mc:AlternateContent>
          <mc:Choice Requires="wps">
            <w:drawing>
              <wp:anchor distT="0" distB="0" distL="114300" distR="114300" simplePos="0" relativeHeight="251661312" behindDoc="0" locked="0" layoutInCell="1" allowOverlap="1">
                <wp:simplePos x="0" y="0"/>
                <wp:positionH relativeFrom="page">
                  <wp:posOffset>900430</wp:posOffset>
                </wp:positionH>
                <wp:positionV relativeFrom="page">
                  <wp:posOffset>1511935</wp:posOffset>
                </wp:positionV>
                <wp:extent cx="6120765" cy="648335"/>
                <wp:effectExtent l="0" t="0" r="5715" b="6985"/>
                <wp:wrapNone/>
                <wp:docPr id="15" name="首页自画框图4"/>
                <wp:cNvGraphicFramePr/>
                <a:graphic xmlns:a="http://schemas.openxmlformats.org/drawingml/2006/main">
                  <a:graphicData uri="http://schemas.microsoft.com/office/word/2010/wordprocessingShape">
                    <wps:wsp>
                      <wps:cNvSpPr txBox="1"/>
                      <wps:spPr>
                        <a:xfrm>
                          <a:off x="0" y="0"/>
                          <a:ext cx="6120765" cy="6483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97"/>
                              <w:rPr>
                                <w:rFonts w:hint="default"/>
                              </w:rPr>
                            </w:pPr>
                            <w:r>
                              <w:t>团    体    标    准</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4" o:spid="_x0000_s1026" o:spt="202" type="#_x0000_t202" style="position:absolute;left:0pt;margin-left:70.9pt;margin-top:119.05pt;height:51.05pt;width:481.95pt;mso-position-horizontal-relative:page;mso-position-vertical-relative:page;z-index:251661312;mso-width-relative:page;mso-height-relative:page;" fillcolor="#FFFFFF [3201]" filled="t" stroked="f" coordsize="21600,21600" o:gfxdata="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Lad/U2wAAAAwBAAAPAAAAAAAAAAEAIAAAACIAAABkcnMvZG93bnJldi54bWxQSwECFAAUAAAA&#10;CACHTuJA2+M7Bl0CAACMBAAADgAAAAAAAAABACAAAAAqAQAAZHJzL2Uyb0RvYy54bWxQSwUGAAAA&#10;AAYABgBZAQAA+QUAAAAA&#10;">
                <v:fill on="t" focussize="0,0"/>
                <v:stroke on="f" weight="0.5pt"/>
                <v:imagedata o:title=""/>
                <o:lock v:ext="edit" aspectratio="f"/>
                <v:textbox inset="0mm,0mm,2.54mm,0mm">
                  <w:txbxContent>
                    <w:p>
                      <w:pPr>
                        <w:pStyle w:val="497"/>
                        <w:rPr>
                          <w:rFonts w:hint="default"/>
                        </w:rPr>
                      </w:pPr>
                      <w:r>
                        <w:t>团    体    标    准</w:t>
                      </w:r>
                    </w:p>
                  </w:txbxContent>
                </v:textbox>
              </v:shape>
            </w:pict>
          </mc:Fallback>
        </mc:AlternateContent>
      </w:r>
    </w:p>
    <w:p>
      <w:pPr>
        <w:pStyle w:val="258"/>
        <w:ind w:firstLine="420"/>
      </w:pPr>
    </w:p>
    <w:p>
      <w:pPr>
        <w:sectPr>
          <w:headerReference r:id="rId5" w:type="first"/>
          <w:footerReference r:id="rId8" w:type="first"/>
          <w:headerReference r:id="rId3" w:type="default"/>
          <w:footerReference r:id="rId6" w:type="default"/>
          <w:headerReference r:id="rId4" w:type="even"/>
          <w:footerReference r:id="rId7" w:type="even"/>
          <w:pgSz w:w="11907" w:h="16839"/>
          <w:pgMar w:top="284" w:right="851" w:bottom="1134" w:left="1418" w:header="284" w:footer="1134" w:gutter="0"/>
          <w:pgNumType w:fmt="upperRoman" w:start="1"/>
          <w:cols w:space="425" w:num="1"/>
          <w:titlePg/>
          <w:docGrid w:linePitch="312" w:charSpace="0"/>
        </w:sectPr>
      </w:pPr>
      <w:bookmarkStart w:id="457" w:name="_GoBack"/>
      <w:bookmarkEnd w:id="457"/>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4105275</wp:posOffset>
                </wp:positionV>
                <wp:extent cx="6396990" cy="4320540"/>
                <wp:effectExtent l="0" t="0" r="3810" b="3810"/>
                <wp:wrapNone/>
                <wp:docPr id="18" name="首页自画框图7"/>
                <wp:cNvGraphicFramePr/>
                <a:graphic xmlns:a="http://schemas.openxmlformats.org/drawingml/2006/main">
                  <a:graphicData uri="http://schemas.microsoft.com/office/word/2010/wordprocessingShape">
                    <wps:wsp>
                      <wps:cNvSpPr txBox="1"/>
                      <wps:spPr>
                        <a:xfrm>
                          <a:off x="0" y="0"/>
                          <a:ext cx="6396990" cy="43205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8"/>
                            </w:pPr>
                            <w:r>
                              <w:rPr>
                                <w:rFonts w:hint="eastAsia"/>
                              </w:rPr>
                              <w:t>生物多样性友好的人工用材林培育技术指南</w:t>
                            </w:r>
                          </w:p>
                          <w:p>
                            <w:pPr>
                              <w:pStyle w:val="271"/>
                            </w:pPr>
                            <w:r>
                              <w:rPr>
                                <w:rFonts w:hint="eastAsia"/>
                              </w:rPr>
                              <w:t xml:space="preserve">Technical </w:t>
                            </w:r>
                            <w:r>
                              <w:rPr>
                                <w:rFonts w:hint="eastAsia"/>
                                <w:lang w:eastAsia="zh-CN"/>
                              </w:rPr>
                              <w:t>guidelines</w:t>
                            </w:r>
                            <w:r>
                              <w:rPr>
                                <w:rFonts w:hint="eastAsia"/>
                              </w:rPr>
                              <w:t xml:space="preserve"> for biodiversity friendly silviculture on timber plantation </w:t>
                            </w:r>
                          </w:p>
                          <w:p>
                            <w:pPr>
                              <w:pStyle w:val="271"/>
                              <w:rPr>
                                <w:rFonts w:hint="default" w:eastAsia="黑体"/>
                                <w:lang w:val="en-US" w:eastAsia="zh-CN"/>
                              </w:rPr>
                            </w:pPr>
                            <w:r>
                              <w:rPr>
                                <w:rFonts w:hint="eastAsia"/>
                                <w:lang w:val="en-US" w:eastAsia="zh-CN"/>
                              </w:rPr>
                              <w:t>（征求意见稿）</w:t>
                            </w:r>
                          </w:p>
                          <w:p>
                            <w:pPr>
                              <w:pStyle w:val="272"/>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7" o:spid="_x0000_s1026" o:spt="202" type="#_x0000_t202" style="position:absolute;left:0pt;margin-top:323.25pt;height:340.2pt;width:503.7pt;mso-position-horizontal:center;mso-position-horizontal-relative:margin;mso-position-vertical-relative:page;z-index:251664384;mso-width-relative:page;mso-height-relative:page;" fillcolor="#FFFFFF [3201]" filled="t" stroked="f" coordsize="21600,21600" o:gfxdata="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SdRgNoAAAAKAQAADwAAAAAAAAABACAAAAAiAAAAZHJzL2Rvd25yZXYueG1sUEsBAhQAFAAA&#10;AAgAh07iQNFFbFJfAgAAjQQAAA4AAAAAAAAAAQAgAAAAKQEAAGRycy9lMm9Eb2MueG1sUEsFBgAA&#10;AAAGAAYAWQEAAPoFAAAAAA==&#10;">
                <v:fill on="t" focussize="0,0"/>
                <v:stroke on="f" weight="0.5pt"/>
                <v:imagedata o:title=""/>
                <o:lock v:ext="edit" aspectratio="f"/>
                <v:textbox inset="0mm,0mm,2.54mm,0mm">
                  <w:txbxContent>
                    <w:p>
                      <w:pPr>
                        <w:pStyle w:val="268"/>
                      </w:pPr>
                      <w:r>
                        <w:rPr>
                          <w:rFonts w:hint="eastAsia"/>
                        </w:rPr>
                        <w:t>生物多样性友好的人工用材林培育技术指南</w:t>
                      </w:r>
                    </w:p>
                    <w:p>
                      <w:pPr>
                        <w:pStyle w:val="271"/>
                      </w:pPr>
                      <w:r>
                        <w:rPr>
                          <w:rFonts w:hint="eastAsia"/>
                        </w:rPr>
                        <w:t xml:space="preserve">Technical </w:t>
                      </w:r>
                      <w:r>
                        <w:rPr>
                          <w:rFonts w:hint="eastAsia"/>
                          <w:lang w:eastAsia="zh-CN"/>
                        </w:rPr>
                        <w:t>guidelines</w:t>
                      </w:r>
                      <w:r>
                        <w:rPr>
                          <w:rFonts w:hint="eastAsia"/>
                        </w:rPr>
                        <w:t xml:space="preserve"> for biodiversity friendly silviculture on timber plantation </w:t>
                      </w:r>
                    </w:p>
                    <w:p>
                      <w:pPr>
                        <w:pStyle w:val="271"/>
                        <w:rPr>
                          <w:rFonts w:hint="default" w:eastAsia="黑体"/>
                          <w:lang w:val="en-US" w:eastAsia="zh-CN"/>
                        </w:rPr>
                      </w:pPr>
                      <w:r>
                        <w:rPr>
                          <w:rFonts w:hint="eastAsia"/>
                          <w:lang w:val="en-US" w:eastAsia="zh-CN"/>
                        </w:rPr>
                        <w:t>（征求意见稿）</w:t>
                      </w:r>
                    </w:p>
                    <w:p>
                      <w:pPr>
                        <w:pStyle w:val="272"/>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4299585</wp:posOffset>
                </wp:positionH>
                <wp:positionV relativeFrom="page">
                  <wp:posOffset>9763760</wp:posOffset>
                </wp:positionV>
                <wp:extent cx="810895" cy="184150"/>
                <wp:effectExtent l="0" t="0" r="12065" b="13970"/>
                <wp:wrapNone/>
                <wp:docPr id="23" name="首页自画框图12"/>
                <wp:cNvGraphicFramePr/>
                <a:graphic xmlns:a="http://schemas.openxmlformats.org/drawingml/2006/main">
                  <a:graphicData uri="http://schemas.microsoft.com/office/word/2010/wordprocessingShape">
                    <wps:wsp>
                      <wps:cNvSpPr txBox="1"/>
                      <wps:spPr>
                        <a:xfrm>
                          <a:off x="0" y="0"/>
                          <a:ext cx="1422400" cy="177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2"/>
                            </w:pPr>
                            <w:r>
                              <w:rPr>
                                <w:rFonts w:hint="eastAsia"/>
                              </w:rPr>
                              <w:t>发 布</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38.55pt;margin-top:768.8pt;height:14.5pt;width:63.85pt;mso-position-horizontal-relative:page;mso-position-vertical-relative:page;mso-wrap-style:none;z-index:251669504;mso-width-relative:page;mso-height-relative:page;" fillcolor="#FFFFFF [3201]" filled="t" stroked="f" coordsize="21600,21600" o:gfxdata="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P7UDTb&#10;AAAADQEAAA8AAAAAAAAAAQAgAAAAIgAAAGRycy9kb3ducmV2LnhtbFBLAQIUABQAAAAIAIdO4kCS&#10;x9oAVgIAAIcEAAAOAAAAAAAAAAEAIAAAACoBAABkcnMvZTJvRG9jLnhtbFBLBQYAAAAABgAGAFkB&#10;AADyBQAAAAA=&#10;">
                <v:fill on="t" focussize="0,0"/>
                <v:stroke on="f" weight="0.5pt"/>
                <v:imagedata o:title=""/>
                <o:lock v:ext="edit" aspectratio="f"/>
                <v:textbox inset="0mm,0mm,0mm,0mm">
                  <w:txbxContent>
                    <w:p>
                      <w:pPr>
                        <w:pStyle w:val="502"/>
                      </w:pPr>
                      <w:r>
                        <w:rPr>
                          <w:rFonts w:hint="eastAsia"/>
                        </w:rPr>
                        <w:t>发 布</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page">
                  <wp:posOffset>2630805</wp:posOffset>
                </wp:positionH>
                <wp:positionV relativeFrom="page">
                  <wp:posOffset>9738360</wp:posOffset>
                </wp:positionV>
                <wp:extent cx="1668780" cy="234950"/>
                <wp:effectExtent l="0" t="0" r="7620" b="8890"/>
                <wp:wrapNone/>
                <wp:docPr id="22" name="首页自画框图11"/>
                <wp:cNvGraphicFramePr/>
                <a:graphic xmlns:a="http://schemas.openxmlformats.org/drawingml/2006/main">
                  <a:graphicData uri="http://schemas.microsoft.com/office/word/2010/wordprocessingShape">
                    <wps:wsp>
                      <wps:cNvSpPr txBox="1"/>
                      <wps:spPr>
                        <a:xfrm>
                          <a:off x="0" y="0"/>
                          <a:ext cx="1543050" cy="2349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503"/>
                              <w:rPr>
                                <w:rFonts w:hint="default"/>
                              </w:rPr>
                            </w:pPr>
                            <w:r>
                              <w:t>中国林学会</w:t>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207.15pt;margin-top:766.8pt;height:18.5pt;width:131.4pt;mso-position-horizontal-relative:page;mso-position-vertical-relative:page;mso-wrap-style:none;z-index:251668480;mso-width-relative:page;mso-height-relative:page;" fillcolor="#FFFFFF [3201]" filled="t" stroked="f" coordsize="21600,21600" o:gfxdata="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FrYFdsA&#10;AAANAQAADwAAAAAAAAABACAAAAAiAAAAZHJzL2Rvd25yZXYueG1sUEsBAhQAFAAAAAgAh07iQAOI&#10;+YFVAgAAhwQAAA4AAAAAAAAAAQAgAAAAKgEAAGRycy9lMm9Eb2MueG1sUEsFBgAAAAAGAAYAWQEA&#10;APEFAAAAAA==&#10;">
                <v:fill on="t" focussize="0,0"/>
                <v:stroke on="f" weight="0.5pt"/>
                <v:imagedata o:title=""/>
                <o:lock v:ext="edit" aspectratio="f"/>
                <v:textbox inset="0mm,0mm,0mm,0mm">
                  <w:txbxContent>
                    <w:p>
                      <w:pPr>
                        <w:pStyle w:val="503"/>
                        <w:rPr>
                          <w:rFonts w:hint="default"/>
                        </w:rPr>
                      </w:pPr>
                      <w:r>
                        <w:t>中国林学会</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7512050</wp:posOffset>
                </wp:positionV>
                <wp:extent cx="6121400" cy="0"/>
                <wp:effectExtent l="0" t="6350" r="0" b="6350"/>
                <wp:wrapNone/>
                <wp:docPr id="21" name="首页自画框图10"/>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10" o:spid="_x0000_s1026" o:spt="20" style="position:absolute;left:0pt;margin-left:-0.9pt;margin-top:591.5pt;height:0pt;width:482pt;z-index:251667456;mso-width-relative:page;mso-height-relative:page;" filled="f" stroked="t" coordsize="21600,21600" o:gfxdata="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I&#10;4Xrl2AAAAAwBAAAPAAAAAAAAAAEAIAAAACIAAABkcnMvZG93bnJldi54bWxQSwECFAAUAAAACACH&#10;TuJAXnjPEesBAAC2AwAADgAAAAAAAAABACAAAAAnAQAAZHJzL2Uyb0RvYy54bWxQSwUGAAAAAAYA&#10;BgBZAQAAhAUAAAAA&#10;">
                <v:fill on="f" focussize="0,0"/>
                <v:stroke weight="1pt" color="#000000 [3204]"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page">
                  <wp:posOffset>4140200</wp:posOffset>
                </wp:positionH>
                <wp:positionV relativeFrom="page">
                  <wp:posOffset>8964930</wp:posOffset>
                </wp:positionV>
                <wp:extent cx="2880360" cy="360045"/>
                <wp:effectExtent l="0" t="0" r="0" b="5715"/>
                <wp:wrapNone/>
                <wp:docPr id="20" name="首页自画框图9"/>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91"/>
                            </w:pPr>
                            <w:r>
                              <w:rPr>
                                <w:rFonts w:hint="eastAsia"/>
                              </w:rPr>
                              <w:t>20XX-XX-XX实施</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9" o:spid="_x0000_s1026" o:spt="202" type="#_x0000_t202" style="position:absolute;left:0pt;margin-left:326pt;margin-top:705.9pt;height:28.35pt;width:226.8pt;mso-position-horizontal-relative:page;mso-position-vertical-relative:page;z-index:251666432;mso-width-relative:page;mso-height-relative:page;" fillcolor="#FFFFFF [3201]" filled="t" stroked="f" coordsize="21600,21600" o:gfxdata="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2GwmbbAAAADgEAAA8AAAAAAAAAAQAgAAAAIgAAAGRycy9kb3ducmV2LnhtbFBLAQIUABQAAAAI&#10;AIdO4kBzup1/XAIAAIwEAAAOAAAAAAAAAAEAIAAAACoBAABkcnMvZTJvRG9jLnhtbFBLBQYAAAAA&#10;BgAGAFkBAAD4BQAAAAA=&#10;">
                <v:fill on="t" focussize="0,0"/>
                <v:stroke on="f" weight="0.5pt"/>
                <v:imagedata o:title=""/>
                <o:lock v:ext="edit" aspectratio="f"/>
                <v:textbox inset="0mm,0mm,2.54mm,0mm">
                  <w:txbxContent>
                    <w:p>
                      <w:pPr>
                        <w:pStyle w:val="291"/>
                      </w:pPr>
                      <w:r>
                        <w:rPr>
                          <w:rFonts w:hint="eastAsia"/>
                        </w:rPr>
                        <w:t>20XX-XX-XX实施</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900430</wp:posOffset>
                </wp:positionH>
                <wp:positionV relativeFrom="page">
                  <wp:posOffset>8964930</wp:posOffset>
                </wp:positionV>
                <wp:extent cx="2880360" cy="360045"/>
                <wp:effectExtent l="0" t="0" r="0" b="5715"/>
                <wp:wrapNone/>
                <wp:docPr id="19" name="首页自画框图8"/>
                <wp:cNvGraphicFramePr/>
                <a:graphic xmlns:a="http://schemas.openxmlformats.org/drawingml/2006/main">
                  <a:graphicData uri="http://schemas.microsoft.com/office/word/2010/wordprocessingShape">
                    <wps:wsp>
                      <wps:cNvSpPr txBox="1"/>
                      <wps:spPr>
                        <a:xfrm>
                          <a:off x="0" y="0"/>
                          <a:ext cx="2880360" cy="360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4"/>
                            </w:pPr>
                            <w:r>
                              <w:rPr>
                                <w:rFonts w:hint="eastAsia"/>
                              </w:rPr>
                              <w:t>20XX-XX-XX发布</w:t>
                            </w: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8" o:spid="_x0000_s1026" o:spt="202" type="#_x0000_t202" style="position:absolute;left:0pt;margin-left:70.9pt;margin-top:705.9pt;height:28.35pt;width:226.8pt;mso-position-horizontal-relative:page;mso-position-vertical-relative:page;z-index:251665408;mso-width-relative:page;mso-height-relative:page;" fillcolor="#FFFFFF [3201]" filled="t" stroked="f" coordsize="21600,21600" o:gfxdata="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bcj52QAAAA0BAAAPAAAAAAAAAAEAIAAAACIAAABkcnMvZG93bnJldi54bWxQSwECFAAUAAAACACH&#10;TuJASk5RN1wCAACMBAAADgAAAAAAAAABACAAAAAoAQAAZHJzL2Uyb0RvYy54bWxQSwUGAAAAAAYA&#10;BgBZAQAA9gUAAAAA&#10;">
                <v:fill on="t" focussize="0,0"/>
                <v:stroke on="f" weight="0.5pt"/>
                <v:imagedata o:title=""/>
                <o:lock v:ext="edit" aspectratio="f"/>
                <v:textbox inset="0mm,0mm,2.54mm,0mm">
                  <w:txbxContent>
                    <w:p>
                      <w:pPr>
                        <w:pStyle w:val="264"/>
                      </w:pPr>
                      <w:r>
                        <w:rPr>
                          <w:rFonts w:hint="eastAsia"/>
                        </w:rPr>
                        <w:t>20XX-XX-XX发布</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958850</wp:posOffset>
                </wp:positionV>
                <wp:extent cx="6121400" cy="0"/>
                <wp:effectExtent l="0" t="6350" r="0" b="6350"/>
                <wp:wrapNone/>
                <wp:docPr id="17" name="首页自画框图6"/>
                <wp:cNvGraphicFramePr/>
                <a:graphic xmlns:a="http://schemas.openxmlformats.org/drawingml/2006/main">
                  <a:graphicData uri="http://schemas.microsoft.com/office/word/2010/wordprocessingShape">
                    <wps:wsp>
                      <wps:cNvCnPr/>
                      <wps:spPr>
                        <a:xfrm>
                          <a:off x="0" y="0"/>
                          <a:ext cx="6121400" cy="0"/>
                        </a:xfrm>
                        <a:prstGeom prst="line">
                          <a:avLst/>
                        </a:prstGeom>
                        <a:ln>
                          <a:solidFill>
                            <a:srgbClr val="00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首页自画框图6" o:spid="_x0000_s1026" o:spt="20" style="position:absolute;left:0pt;margin-left:-0.9pt;margin-top:75.5pt;height:0pt;width:482pt;z-index:251663360;mso-width-relative:page;mso-height-relative:page;" filled="f" stroked="t" coordsize="21600,21600" o:gfxdata="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Cih42AAAAAoBAAAPAAAAAAAAAAEAIAAAACIAAABkcnMvZG93bnJldi54bWxQSwECFAAUAAAACACH&#10;TuJAPq4pMusBAAC1AwAADgAAAAAAAAABACAAAAAnAQAAZHJzL2Uyb0RvYy54bWxQSwUGAAAAAAYA&#10;BgBZAQAAhAUAAAAA&#10;">
                <v:fill on="f" focussize="0,0"/>
                <v:stroke weight="1pt" color="#000000 [3204]"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2520315</wp:posOffset>
                </wp:positionH>
                <wp:positionV relativeFrom="page">
                  <wp:posOffset>2124075</wp:posOffset>
                </wp:positionV>
                <wp:extent cx="4320540" cy="720090"/>
                <wp:effectExtent l="0" t="0" r="7620" b="1143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65"/>
                              <w:rPr>
                                <w:rFonts w:hint="eastAsia" w:eastAsia="黑体"/>
                                <w:lang w:val="en-US" w:eastAsia="zh-CN"/>
                              </w:rPr>
                            </w:pPr>
                            <w:r>
                              <w:rPr>
                                <w:rFonts w:hint="eastAsia"/>
                              </w:rPr>
                              <w:t>T/</w:t>
                            </w:r>
                            <w:r>
                              <w:rPr>
                                <w:rFonts w:hint="eastAsia"/>
                                <w:lang w:val="en-US" w:eastAsia="zh-CN"/>
                              </w:rPr>
                              <w:t xml:space="preserve">csf </w:t>
                            </w:r>
                            <w:r>
                              <w:rPr>
                                <w:rFonts w:hint="eastAsia"/>
                              </w:rPr>
                              <w:t>XXX</w:t>
                            </w:r>
                            <w:r>
                              <w:rPr>
                                <w:rFonts w:hint="eastAsia"/>
                                <w:lang w:val="en-US" w:eastAsia="zh-CN"/>
                              </w:rPr>
                              <w:t>-</w:t>
                            </w:r>
                            <w:r>
                              <w:rPr>
                                <w:rFonts w:hint="eastAsia"/>
                              </w:rPr>
                              <w:t>XX</w:t>
                            </w:r>
                          </w:p>
                          <w:p>
                            <w:pPr>
                              <w:pStyle w:val="267"/>
                            </w:pPr>
                          </w:p>
                        </w:txbxContent>
                      </wps:txbx>
                      <wps:bodyPr rot="0" spcFirstLastPara="0" vertOverflow="overflow" horzOverflow="overflow" vert="horz" wrap="square" lIns="0" tIns="0" rIns="91440" bIns="0" numCol="1" spcCol="0" rtlCol="0" fromWordArt="0" anchor="t" anchorCtr="0" forceAA="0" compatLnSpc="1">
                        <a:noAutofit/>
                      </wps:bodyPr>
                    </wps:wsp>
                  </a:graphicData>
                </a:graphic>
              </wp:anchor>
            </w:drawing>
          </mc:Choice>
          <mc:Fallback>
            <w:pict>
              <v:shape id="首页自画框图5" o:spid="_x0000_s1026" o:spt="202" type="#_x0000_t202" style="position:absolute;left:0pt;margin-left:198.45pt;margin-top:167.25pt;height:56.7pt;width:340.2pt;mso-position-horizontal-relative:page;mso-position-vertical-relative:page;z-index:251662336;mso-width-relative:page;mso-height-relative:page;" fillcolor="#FFFFFF [3201]" filled="t" stroked="f" coordsize="21600,21600" o:gfxdata="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Uzsr7cAAAADAEAAA8AAAAAAAAAAQAgAAAAIgAAAGRycy9kb3ducmV2LnhtbFBLAQIUABQA&#10;AAAIAIdO4kBoPZoqXgIAAIwEAAAOAAAAAAAAAAEAIAAAACsBAABkcnMvZTJvRG9jLnhtbFBLBQYA&#10;AAAABgAGAFkBAAD7BQAAAAA=&#10;">
                <v:fill on="t" focussize="0,0"/>
                <v:stroke on="f" weight="0.5pt"/>
                <v:imagedata o:title=""/>
                <o:lock v:ext="edit" aspectratio="f"/>
                <v:textbox inset="0mm,0mm,2.54mm,0mm">
                  <w:txbxContent>
                    <w:p>
                      <w:pPr>
                        <w:pStyle w:val="265"/>
                        <w:rPr>
                          <w:rFonts w:hint="eastAsia" w:eastAsia="黑体"/>
                          <w:lang w:val="en-US" w:eastAsia="zh-CN"/>
                        </w:rPr>
                      </w:pPr>
                      <w:r>
                        <w:rPr>
                          <w:rFonts w:hint="eastAsia"/>
                        </w:rPr>
                        <w:t>T/</w:t>
                      </w:r>
                      <w:r>
                        <w:rPr>
                          <w:rFonts w:hint="eastAsia"/>
                          <w:lang w:val="en-US" w:eastAsia="zh-CN"/>
                        </w:rPr>
                        <w:t xml:space="preserve">csf </w:t>
                      </w:r>
                      <w:r>
                        <w:rPr>
                          <w:rFonts w:hint="eastAsia"/>
                        </w:rPr>
                        <w:t>XXX</w:t>
                      </w:r>
                      <w:r>
                        <w:rPr>
                          <w:rFonts w:hint="eastAsia"/>
                          <w:lang w:val="en-US" w:eastAsia="zh-CN"/>
                        </w:rPr>
                        <w:t>-</w:t>
                      </w:r>
                      <w:r>
                        <w:rPr>
                          <w:rFonts w:hint="eastAsia"/>
                        </w:rPr>
                        <w:t>XX</w:t>
                      </w:r>
                    </w:p>
                    <w:p>
                      <w:pPr>
                        <w:pStyle w:val="267"/>
                      </w:pPr>
                    </w:p>
                  </w:txbxContent>
                </v:textbox>
              </v:shape>
            </w:pict>
          </mc:Fallback>
        </mc:AlternateContent>
      </w:r>
    </w:p>
    <w:p>
      <w:pPr>
        <w:pStyle w:val="286"/>
        <w:outlineLvl w:val="0"/>
      </w:pPr>
      <w:bookmarkStart w:id="1" w:name="_Toc8062"/>
      <w:bookmarkStart w:id="2" w:name="_Toc22239"/>
      <w:bookmarkStart w:id="3" w:name="_Toc17355"/>
      <w:bookmarkStart w:id="4" w:name="_Toc4122"/>
      <w:bookmarkStart w:id="5" w:name="_Toc31284"/>
      <w:bookmarkStart w:id="6" w:name="_Toc25596"/>
      <w:bookmarkStart w:id="7" w:name="_Toc15711"/>
      <w:r>
        <w:rPr>
          <w:rFonts w:hint="eastAsia"/>
        </w:rPr>
        <w:t>目    次</w:t>
      </w:r>
      <w:bookmarkEnd w:id="1"/>
      <w:bookmarkEnd w:id="2"/>
      <w:bookmarkEnd w:id="3"/>
      <w:bookmarkEnd w:id="4"/>
      <w:bookmarkEnd w:id="5"/>
      <w:bookmarkEnd w:id="6"/>
      <w:bookmarkEnd w:id="7"/>
    </w:p>
    <w:p>
      <w:pPr>
        <w:pStyle w:val="19"/>
        <w:tabs>
          <w:tab w:val="right" w:leader="dot" w:pos="9355"/>
        </w:tabs>
      </w:pPr>
      <w:bookmarkStart w:id="8" w:name="标准目次内容"/>
      <w:r>
        <w:rPr>
          <w:rFonts w:hint="eastAsia" w:hAnsi="宋体" w:cs="宋体"/>
        </w:rPr>
        <w:fldChar w:fldCharType="begin"/>
      </w:r>
      <w:r>
        <w:rPr>
          <w:rFonts w:hint="eastAsia" w:hAnsi="宋体" w:cs="宋体"/>
        </w:rPr>
        <w:instrText xml:space="preserve">TOC \o "1-1" \h \u </w:instrText>
      </w:r>
      <w:r>
        <w:rPr>
          <w:rFonts w:hint="eastAsia" w:hAnsi="宋体" w:cs="宋体"/>
        </w:rPr>
        <w:fldChar w:fldCharType="separate"/>
      </w:r>
      <w:r>
        <w:rPr>
          <w:rFonts w:hint="eastAsia" w:hAnsi="宋体" w:cs="宋体"/>
        </w:rPr>
        <w:fldChar w:fldCharType="begin"/>
      </w:r>
      <w:r>
        <w:rPr>
          <w:rFonts w:hint="eastAsia" w:hAnsi="宋体" w:cs="宋体"/>
        </w:rPr>
        <w:instrText xml:space="preserve"> HYPERLINK \l _Toc25596 </w:instrText>
      </w:r>
      <w:r>
        <w:rPr>
          <w:rFonts w:hint="eastAsia" w:hAnsi="宋体" w:cs="宋体"/>
        </w:rPr>
        <w:fldChar w:fldCharType="separate"/>
      </w:r>
      <w:r>
        <w:rPr>
          <w:rFonts w:hint="eastAsia"/>
        </w:rPr>
        <w:t>目    次</w:t>
      </w:r>
      <w:r>
        <w:tab/>
      </w:r>
      <w:r>
        <w:fldChar w:fldCharType="begin"/>
      </w:r>
      <w:r>
        <w:instrText xml:space="preserve"> PAGEREF _Toc25596 \h </w:instrText>
      </w:r>
      <w:r>
        <w:fldChar w:fldCharType="separate"/>
      </w:r>
      <w:r>
        <w:t>I</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_Toc14479 </w:instrText>
      </w:r>
      <w:r>
        <w:rPr>
          <w:rFonts w:hint="eastAsia" w:hAnsi="宋体" w:cs="宋体"/>
        </w:rPr>
        <w:fldChar w:fldCharType="separate"/>
      </w:r>
      <w:r>
        <w:rPr>
          <w:rFonts w:hint="eastAsia"/>
        </w:rPr>
        <w:t>引    言</w:t>
      </w:r>
      <w:r>
        <w:tab/>
      </w:r>
      <w:r>
        <w:fldChar w:fldCharType="begin"/>
      </w:r>
      <w:r>
        <w:instrText xml:space="preserve"> PAGEREF _Toc14479 \h </w:instrText>
      </w:r>
      <w:r>
        <w:fldChar w:fldCharType="separate"/>
      </w:r>
      <w:r>
        <w:t>II</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_Toc5622 </w:instrText>
      </w:r>
      <w:r>
        <w:rPr>
          <w:rFonts w:hint="eastAsia" w:hAnsi="宋体" w:cs="宋体"/>
        </w:rPr>
        <w:fldChar w:fldCharType="separate"/>
      </w:r>
      <w:r>
        <w:rPr>
          <w:rFonts w:hint="eastAsia"/>
        </w:rPr>
        <w:t>生物多样性友好的人工用材林培育技术指南</w:t>
      </w:r>
      <w:r>
        <w:tab/>
      </w:r>
      <w:r>
        <w:fldChar w:fldCharType="begin"/>
      </w:r>
      <w:r>
        <w:instrText xml:space="preserve"> PAGEREF _Toc5622 \h </w:instrText>
      </w:r>
      <w:r>
        <w:fldChar w:fldCharType="separate"/>
      </w:r>
      <w:r>
        <w:t>1</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_Toc7694 </w:instrText>
      </w:r>
      <w:r>
        <w:rPr>
          <w:rFonts w:hint="eastAsia" w:hAnsi="宋体" w:cs="宋体"/>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_Toc7694 \h </w:instrText>
      </w:r>
      <w:r>
        <w:fldChar w:fldCharType="separate"/>
      </w:r>
      <w:r>
        <w:t>1</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_Toc20429 </w:instrText>
      </w:r>
      <w:r>
        <w:rPr>
          <w:rFonts w:hint="eastAsia" w:hAnsi="宋体" w:cs="宋体"/>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_Toc20429 \h </w:instrText>
      </w:r>
      <w:r>
        <w:fldChar w:fldCharType="separate"/>
      </w:r>
      <w:r>
        <w:t>1</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_Toc7087 </w:instrText>
      </w:r>
      <w:r>
        <w:rPr>
          <w:rFonts w:hint="eastAsia" w:hAnsi="宋体" w:cs="宋体"/>
        </w:rPr>
        <w:fldChar w:fldCharType="separate"/>
      </w:r>
      <w:r>
        <w:rPr>
          <w:rFonts w:hint="eastAsia" w:ascii="黑体" w:hAnsi="Times New Roman" w:eastAsia="黑体"/>
          <w:i w:val="0"/>
          <w:szCs w:val="21"/>
        </w:rPr>
        <w:t xml:space="preserve">4 </w:t>
      </w:r>
      <w:r>
        <w:rPr>
          <w:rFonts w:hint="eastAsia"/>
        </w:rPr>
        <w:t>总体原则</w:t>
      </w:r>
      <w:r>
        <w:tab/>
      </w:r>
      <w:r>
        <w:fldChar w:fldCharType="begin"/>
      </w:r>
      <w:r>
        <w:instrText xml:space="preserve"> PAGEREF _Toc7087 \h </w:instrText>
      </w:r>
      <w:r>
        <w:fldChar w:fldCharType="separate"/>
      </w:r>
      <w:r>
        <w:t>2</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_Toc5919 </w:instrText>
      </w:r>
      <w:r>
        <w:rPr>
          <w:rFonts w:hint="eastAsia" w:hAnsi="宋体" w:cs="宋体"/>
        </w:rPr>
        <w:fldChar w:fldCharType="separate"/>
      </w:r>
      <w:r>
        <w:rPr>
          <w:rFonts w:hint="eastAsia" w:ascii="黑体" w:hAnsi="Times New Roman" w:eastAsia="黑体"/>
          <w:i w:val="0"/>
          <w:szCs w:val="21"/>
        </w:rPr>
        <w:t xml:space="preserve">5 </w:t>
      </w:r>
      <w:r>
        <w:rPr>
          <w:rFonts w:hint="eastAsia"/>
        </w:rPr>
        <w:t>技术措施</w:t>
      </w:r>
      <w:r>
        <w:tab/>
      </w:r>
      <w:r>
        <w:fldChar w:fldCharType="begin"/>
      </w:r>
      <w:r>
        <w:instrText xml:space="preserve"> PAGEREF _Toc5919 \h </w:instrText>
      </w:r>
      <w:r>
        <w:fldChar w:fldCharType="separate"/>
      </w:r>
      <w:r>
        <w:t>2</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_Toc16443 </w:instrText>
      </w:r>
      <w:r>
        <w:rPr>
          <w:rFonts w:hint="eastAsia" w:hAnsi="宋体" w:cs="宋体"/>
        </w:rPr>
        <w:fldChar w:fldCharType="separate"/>
      </w:r>
      <w:r>
        <w:rPr>
          <w:rFonts w:hint="eastAsia" w:ascii="黑体" w:hAnsi="Times New Roman" w:eastAsia="黑体"/>
          <w:i w:val="0"/>
          <w:szCs w:val="21"/>
        </w:rPr>
        <w:t xml:space="preserve">6 </w:t>
      </w:r>
      <w:r>
        <w:rPr>
          <w:rFonts w:hint="eastAsia"/>
        </w:rPr>
        <w:t>生物多样性的可持续利用</w:t>
      </w:r>
      <w:r>
        <w:tab/>
      </w:r>
      <w:r>
        <w:fldChar w:fldCharType="begin"/>
      </w:r>
      <w:r>
        <w:instrText xml:space="preserve"> PAGEREF _Toc16443 \h </w:instrText>
      </w:r>
      <w:r>
        <w:fldChar w:fldCharType="separate"/>
      </w:r>
      <w:r>
        <w:t>5</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_Toc2192 </w:instrText>
      </w:r>
      <w:r>
        <w:rPr>
          <w:rFonts w:hint="eastAsia" w:hAnsi="宋体" w:cs="宋体"/>
        </w:rPr>
        <w:fldChar w:fldCharType="separate"/>
      </w:r>
      <w:r>
        <w:rPr>
          <w:rFonts w:hint="eastAsia" w:ascii="黑体" w:hAnsi="Times New Roman" w:eastAsia="黑体"/>
          <w:i w:val="0"/>
          <w:szCs w:val="21"/>
        </w:rPr>
        <w:t xml:space="preserve">7 </w:t>
      </w:r>
      <w:r>
        <w:rPr>
          <w:rFonts w:hint="eastAsia"/>
        </w:rPr>
        <w:t>公共管理</w:t>
      </w:r>
      <w:r>
        <w:tab/>
      </w:r>
      <w:r>
        <w:fldChar w:fldCharType="begin"/>
      </w:r>
      <w:r>
        <w:instrText xml:space="preserve"> PAGEREF _Toc2192 \h </w:instrText>
      </w:r>
      <w:r>
        <w:fldChar w:fldCharType="separate"/>
      </w:r>
      <w:r>
        <w:t>5</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_Toc25285 </w:instrText>
      </w:r>
      <w:r>
        <w:rPr>
          <w:rFonts w:hint="eastAsia" w:hAnsi="宋体" w:cs="宋体"/>
        </w:rPr>
        <w:fldChar w:fldCharType="separate"/>
      </w:r>
      <w:r>
        <w:rPr>
          <w:rFonts w:hint="eastAsia" w:ascii="黑体" w:hAnsi="Times New Roman" w:eastAsia="黑体"/>
          <w:i w:val="0"/>
          <w:szCs w:val="21"/>
        </w:rPr>
        <w:t xml:space="preserve">8 </w:t>
      </w:r>
      <w:r>
        <w:rPr>
          <w:rFonts w:hint="eastAsia"/>
          <w:lang w:val="en-US" w:eastAsia="zh-CN"/>
        </w:rPr>
        <w:t>公众参与</w:t>
      </w:r>
      <w:r>
        <w:tab/>
      </w:r>
      <w:r>
        <w:fldChar w:fldCharType="begin"/>
      </w:r>
      <w:r>
        <w:instrText xml:space="preserve"> PAGEREF _Toc25285 \h </w:instrText>
      </w:r>
      <w:r>
        <w:fldChar w:fldCharType="separate"/>
      </w:r>
      <w:r>
        <w:t>6</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_Toc32766 </w:instrText>
      </w:r>
      <w:r>
        <w:rPr>
          <w:rFonts w:hint="eastAsia" w:hAnsi="宋体" w:cs="宋体"/>
        </w:rPr>
        <w:fldChar w:fldCharType="separate"/>
      </w:r>
      <w:r>
        <w:rPr>
          <w:rFonts w:hint="eastAsia" w:ascii="黑体" w:hAnsi="Times New Roman" w:eastAsia="黑体"/>
          <w:i w:val="0"/>
          <w:spacing w:val="0"/>
          <w:w w:val="100"/>
        </w:rPr>
        <w:t xml:space="preserve">附　录　A </w:t>
      </w:r>
      <w:r>
        <w:rPr>
          <w:rFonts w:hint="eastAsia"/>
        </w:rPr>
        <w:t xml:space="preserve"> </w:t>
      </w:r>
      <w:r>
        <w:rPr>
          <w:rFonts w:hint="eastAsia"/>
          <w:lang w:eastAsia="zh-CN"/>
        </w:rPr>
        <w:t>（资料性） 自然度分级标准</w:t>
      </w:r>
      <w:r>
        <w:tab/>
      </w:r>
      <w:r>
        <w:fldChar w:fldCharType="begin"/>
      </w:r>
      <w:r>
        <w:instrText xml:space="preserve"> PAGEREF _Toc32766 \h </w:instrText>
      </w:r>
      <w:r>
        <w:fldChar w:fldCharType="separate"/>
      </w:r>
      <w:r>
        <w:t>7</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_Toc5241 </w:instrText>
      </w:r>
      <w:r>
        <w:rPr>
          <w:rFonts w:hint="eastAsia" w:hAnsi="宋体" w:cs="宋体"/>
        </w:rPr>
        <w:fldChar w:fldCharType="separate"/>
      </w:r>
      <w:r>
        <w:rPr>
          <w:rFonts w:hint="eastAsia" w:ascii="黑体" w:hAnsi="Times New Roman" w:eastAsia="黑体"/>
          <w:i w:val="0"/>
          <w:spacing w:val="0"/>
          <w:w w:val="100"/>
        </w:rPr>
        <w:t xml:space="preserve">附　录　B </w:t>
      </w:r>
      <w:r>
        <w:rPr>
          <w:rFonts w:hint="eastAsia"/>
        </w:rPr>
        <w:t xml:space="preserve"> （资料性） 人工用材林生物多样性评价参考表</w:t>
      </w:r>
      <w:r>
        <w:tab/>
      </w:r>
      <w:r>
        <w:fldChar w:fldCharType="begin"/>
      </w:r>
      <w:r>
        <w:instrText xml:space="preserve"> PAGEREF _Toc5241 \h </w:instrText>
      </w:r>
      <w:r>
        <w:fldChar w:fldCharType="separate"/>
      </w:r>
      <w:r>
        <w:t>8</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_Toc898 </w:instrText>
      </w:r>
      <w:r>
        <w:rPr>
          <w:rFonts w:hint="eastAsia" w:hAnsi="宋体" w:cs="宋体"/>
        </w:rPr>
        <w:fldChar w:fldCharType="separate"/>
      </w:r>
      <w:r>
        <w:rPr>
          <w:rFonts w:hint="eastAsia" w:ascii="黑体" w:hAnsi="Times New Roman" w:eastAsia="黑体"/>
          <w:i w:val="0"/>
          <w:spacing w:val="0"/>
          <w:w w:val="100"/>
        </w:rPr>
        <w:t xml:space="preserve">附　录　C </w:t>
      </w:r>
      <w:r>
        <w:rPr>
          <w:rFonts w:hint="eastAsia"/>
        </w:rPr>
        <w:t xml:space="preserve"> （</w:t>
      </w:r>
      <w:r>
        <w:rPr>
          <w:rFonts w:hint="eastAsia"/>
          <w:lang w:val="en-US" w:eastAsia="zh-CN"/>
        </w:rPr>
        <w:t>资料</w:t>
      </w:r>
      <w:r>
        <w:rPr>
          <w:rFonts w:hint="eastAsia"/>
        </w:rPr>
        <w:t>性） 森林培育类型表</w:t>
      </w:r>
      <w:r>
        <w:tab/>
      </w:r>
      <w:r>
        <w:fldChar w:fldCharType="begin"/>
      </w:r>
      <w:r>
        <w:instrText xml:space="preserve"> PAGEREF _Toc898 \h </w:instrText>
      </w:r>
      <w:r>
        <w:fldChar w:fldCharType="separate"/>
      </w:r>
      <w:r>
        <w:t>9</w:t>
      </w:r>
      <w:r>
        <w:fldChar w:fldCharType="end"/>
      </w:r>
      <w:r>
        <w:rPr>
          <w:rFonts w:hint="eastAsia" w:hAnsi="宋体" w:cs="宋体"/>
        </w:rPr>
        <w:fldChar w:fldCharType="end"/>
      </w:r>
    </w:p>
    <w:p>
      <w:pPr>
        <w:pStyle w:val="19"/>
        <w:tabs>
          <w:tab w:val="right" w:leader="dot" w:pos="9355"/>
        </w:tabs>
      </w:pPr>
      <w:r>
        <w:rPr>
          <w:rFonts w:hint="eastAsia" w:hAnsi="宋体" w:cs="宋体"/>
        </w:rPr>
        <w:fldChar w:fldCharType="begin"/>
      </w:r>
      <w:r>
        <w:rPr>
          <w:rFonts w:hint="eastAsia" w:hAnsi="宋体" w:cs="宋体"/>
        </w:rPr>
        <w:instrText xml:space="preserve"> HYPERLINK \l _Toc7722 </w:instrText>
      </w:r>
      <w:r>
        <w:rPr>
          <w:rFonts w:hint="eastAsia" w:hAnsi="宋体" w:cs="宋体"/>
        </w:rPr>
        <w:fldChar w:fldCharType="separate"/>
      </w:r>
      <w:r>
        <w:rPr>
          <w:rFonts w:hint="eastAsia"/>
        </w:rPr>
        <w:t>参  考  文  献</w:t>
      </w:r>
      <w:r>
        <w:tab/>
      </w:r>
      <w:r>
        <w:fldChar w:fldCharType="begin"/>
      </w:r>
      <w:r>
        <w:instrText xml:space="preserve"> PAGEREF _Toc7722 \h </w:instrText>
      </w:r>
      <w:r>
        <w:fldChar w:fldCharType="separate"/>
      </w:r>
      <w:r>
        <w:t>10</w:t>
      </w:r>
      <w:r>
        <w:fldChar w:fldCharType="end"/>
      </w:r>
      <w:r>
        <w:rPr>
          <w:rFonts w:hint="eastAsia" w:hAnsi="宋体" w:cs="宋体"/>
        </w:rPr>
        <w:fldChar w:fldCharType="end"/>
      </w:r>
    </w:p>
    <w:p>
      <w:pPr>
        <w:pStyle w:val="258"/>
        <w:ind w:firstLine="420"/>
        <w:rPr>
          <w:rFonts w:hAnsi="宋体" w:cs="宋体"/>
        </w:rPr>
      </w:pPr>
      <w:r>
        <w:rPr>
          <w:rFonts w:hint="eastAsia" w:hAnsi="宋体" w:cs="宋体"/>
        </w:rPr>
        <w:fldChar w:fldCharType="end"/>
      </w:r>
    </w:p>
    <w:p>
      <w:pPr>
        <w:pStyle w:val="258"/>
        <w:ind w:firstLine="420"/>
        <w:rPr>
          <w:rFonts w:hint="eastAsia" w:hAnsi="宋体" w:cs="宋体"/>
          <w:lang w:eastAsia="zh-CN"/>
        </w:rPr>
        <w:sectPr>
          <w:headerReference r:id="rId10" w:type="first"/>
          <w:footerReference r:id="rId12" w:type="first"/>
          <w:headerReference r:id="rId9" w:type="default"/>
          <w:footerReference r:id="rId11" w:type="default"/>
          <w:pgSz w:w="11907" w:h="16839"/>
          <w:pgMar w:top="1418" w:right="1134" w:bottom="1134" w:left="1418" w:header="1418" w:footer="1134" w:gutter="0"/>
          <w:lnNumType w:countBy="0" w:restart="continuous"/>
          <w:pgNumType w:fmt="upperRoman" w:start="1"/>
          <w:cols w:space="425" w:num="1"/>
          <w:rtlGutter w:val="0"/>
          <w:docGrid w:type="lines" w:linePitch="312" w:charSpace="0"/>
        </w:sectPr>
      </w:pPr>
    </w:p>
    <w:bookmarkEnd w:id="8"/>
    <w:p>
      <w:pPr>
        <w:pStyle w:val="256"/>
      </w:pPr>
      <w:bookmarkStart w:id="9" w:name="标准目次"/>
      <w:bookmarkEnd w:id="9"/>
      <w:bookmarkStart w:id="10" w:name="标准引言"/>
      <w:bookmarkEnd w:id="10"/>
      <w:bookmarkStart w:id="11" w:name="_Toc19246"/>
      <w:bookmarkStart w:id="12" w:name="_Toc2794"/>
      <w:bookmarkStart w:id="13" w:name="_Toc14479"/>
      <w:bookmarkStart w:id="14" w:name="_Toc15623"/>
      <w:bookmarkStart w:id="15" w:name="_Toc148087850"/>
      <w:bookmarkStart w:id="16" w:name="_Toc12680"/>
      <w:bookmarkStart w:id="17" w:name="_Toc9718"/>
      <w:bookmarkStart w:id="18" w:name="_Toc28096"/>
      <w:bookmarkStart w:id="19" w:name="_Toc10123"/>
      <w:bookmarkStart w:id="20" w:name="_Toc1918"/>
      <w:bookmarkStart w:id="21" w:name="_Toc28006"/>
      <w:bookmarkStart w:id="22" w:name="_Toc16134"/>
      <w:bookmarkStart w:id="23" w:name="_Toc16628"/>
      <w:bookmarkStart w:id="24" w:name="_Toc23827"/>
      <w:r>
        <w:rPr>
          <w:rFonts w:hint="eastAsia"/>
        </w:rPr>
        <w:t>引    言</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258"/>
      </w:pPr>
      <w:r>
        <w:t>本文件按照 GB/T 1.1—2020《标准化工作导则第 1 部分：标准化文件的结构和起草规则》的规定起草</w:t>
      </w:r>
      <w:r>
        <w:rPr>
          <w:rFonts w:hint="eastAsia"/>
        </w:rPr>
        <w:t>。</w:t>
      </w:r>
      <w:r>
        <w:t xml:space="preserve"> </w:t>
      </w:r>
    </w:p>
    <w:p>
      <w:pPr>
        <w:pStyle w:val="258"/>
      </w:pPr>
      <w:r>
        <w:t xml:space="preserve">请注意本文件的某些内容可能涉及专利。本文件的发布机构不承担识别专利的责任。 </w:t>
      </w:r>
    </w:p>
    <w:p>
      <w:pPr>
        <w:pStyle w:val="258"/>
      </w:pPr>
      <w:r>
        <w:t>本文件由</w:t>
      </w:r>
      <w:r>
        <w:rPr>
          <w:rFonts w:hint="eastAsia"/>
        </w:rPr>
        <w:t>中国林学会</w:t>
      </w:r>
      <w:r>
        <w:t>提出</w:t>
      </w:r>
      <w:r>
        <w:rPr>
          <w:rFonts w:hint="eastAsia"/>
        </w:rPr>
        <w:t>并</w:t>
      </w:r>
      <w:r>
        <w:t xml:space="preserve">归口。 </w:t>
      </w:r>
    </w:p>
    <w:p>
      <w:pPr>
        <w:pStyle w:val="258"/>
      </w:pPr>
      <w:r>
        <w:t xml:space="preserve">本文件起草单位：  </w:t>
      </w:r>
    </w:p>
    <w:p>
      <w:pPr>
        <w:pStyle w:val="258"/>
        <w:ind w:firstLine="0"/>
      </w:pPr>
      <w:r>
        <w:t>本文件主要起草人：</w:t>
      </w:r>
    </w:p>
    <w:p>
      <w:pPr>
        <w:pStyle w:val="258"/>
        <w:ind w:firstLine="0"/>
        <w:rPr>
          <w:rFonts w:cs="Arial" w:asciiTheme="minorEastAsia" w:hAnsiTheme="minorEastAsia"/>
          <w:color w:val="242424"/>
          <w:szCs w:val="24"/>
        </w:rPr>
      </w:pPr>
      <w:r>
        <w:rPr>
          <w:rFonts w:hint="eastAsia"/>
        </w:rPr>
        <w:t>本文件为首次发布</w:t>
      </w:r>
      <w:r>
        <w:rPr>
          <w:rFonts w:hint="eastAsia" w:cs="Arial" w:asciiTheme="minorEastAsia" w:hAnsiTheme="minorEastAsia"/>
          <w:color w:val="242424"/>
          <w:szCs w:val="24"/>
        </w:rPr>
        <w:t>。</w:t>
      </w:r>
    </w:p>
    <w:p>
      <w:pPr>
        <w:pStyle w:val="258"/>
        <w:ind w:firstLine="420"/>
      </w:pPr>
    </w:p>
    <w:p>
      <w:pPr>
        <w:pStyle w:val="258"/>
        <w:ind w:firstLine="420"/>
        <w:sectPr>
          <w:pgSz w:w="11907" w:h="16839"/>
          <w:pgMar w:top="1418" w:right="1134" w:bottom="1134" w:left="1418" w:header="1418" w:footer="1134" w:gutter="0"/>
          <w:lnNumType w:countBy="0" w:restart="continuous"/>
          <w:pgNumType w:fmt="upperRoman"/>
          <w:cols w:space="425" w:num="1"/>
          <w:rtlGutter w:val="0"/>
          <w:docGrid w:type="lines" w:linePitch="312" w:charSpace="0"/>
        </w:sectPr>
      </w:pPr>
    </w:p>
    <w:p>
      <w:pPr>
        <w:pStyle w:val="315"/>
        <w:outlineLvl w:val="0"/>
      </w:pPr>
      <w:bookmarkStart w:id="25" w:name="标准内容"/>
      <w:bookmarkEnd w:id="25"/>
      <w:bookmarkStart w:id="26" w:name="_Toc7554"/>
      <w:bookmarkStart w:id="27" w:name="_Toc13284"/>
      <w:bookmarkStart w:id="28" w:name="_Toc3798"/>
      <w:bookmarkStart w:id="29" w:name="_Toc6100"/>
      <w:bookmarkStart w:id="30" w:name="_Toc10495"/>
      <w:bookmarkStart w:id="31" w:name="_Toc5622"/>
      <w:bookmarkStart w:id="32" w:name="_Toc23716"/>
      <w:bookmarkStart w:id="33" w:name="_Toc28117"/>
      <w:r>
        <w:rPr>
          <w:rFonts w:hint="eastAsia"/>
        </w:rPr>
        <w:t>生物多样性友好的人工用材林培育技术指南</w:t>
      </w:r>
      <w:bookmarkEnd w:id="26"/>
      <w:bookmarkEnd w:id="27"/>
      <w:bookmarkEnd w:id="28"/>
      <w:bookmarkEnd w:id="29"/>
      <w:bookmarkEnd w:id="30"/>
      <w:bookmarkEnd w:id="31"/>
      <w:bookmarkEnd w:id="32"/>
      <w:bookmarkEnd w:id="33"/>
    </w:p>
    <w:p>
      <w:pPr>
        <w:pStyle w:val="259"/>
        <w:outlineLvl w:val="0"/>
      </w:pPr>
      <w:bookmarkStart w:id="34" w:name="_Toc15778"/>
      <w:bookmarkStart w:id="35" w:name="_Toc9594"/>
      <w:bookmarkStart w:id="36" w:name="_Toc30861"/>
      <w:bookmarkStart w:id="37" w:name="_Toc29314"/>
      <w:bookmarkStart w:id="38" w:name="_Toc148087851"/>
      <w:bookmarkStart w:id="39" w:name="_Toc4371"/>
      <w:bookmarkStart w:id="40" w:name="_Toc21866"/>
      <w:bookmarkStart w:id="41" w:name="_Toc17142"/>
      <w:bookmarkStart w:id="42" w:name="_Toc1737"/>
      <w:bookmarkStart w:id="43" w:name="_Toc2948"/>
      <w:bookmarkStart w:id="44" w:name="_Toc20160"/>
      <w:bookmarkStart w:id="45" w:name="_Toc18124"/>
      <w:bookmarkStart w:id="46" w:name="_Toc7694"/>
      <w:bookmarkStart w:id="47" w:name="_Toc17530"/>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258"/>
        <w:ind w:firstLine="420"/>
      </w:pPr>
      <w:r>
        <w:rPr>
          <w:rFonts w:hint="eastAsia"/>
        </w:rPr>
        <w:t>本文件规定了生物多样性友好的人工用材林培育的总体原则和技术路线、技术措施、生物多样性可持续利用和公共管理措施。</w:t>
      </w:r>
    </w:p>
    <w:p>
      <w:pPr>
        <w:pStyle w:val="258"/>
        <w:ind w:firstLine="420"/>
      </w:pPr>
      <w:r>
        <w:rPr>
          <w:rFonts w:hint="eastAsia"/>
        </w:rPr>
        <w:t>本文件适用于林场及林业企业、联合体、社区和相关管理部门的人工用材林的生态培育和生物多样性保护。</w:t>
      </w:r>
    </w:p>
    <w:p>
      <w:pPr>
        <w:pStyle w:val="259"/>
        <w:outlineLvl w:val="0"/>
      </w:pPr>
      <w:bookmarkStart w:id="48" w:name="_Toc19029"/>
      <w:bookmarkStart w:id="49" w:name="_Toc4426"/>
      <w:bookmarkStart w:id="50" w:name="_Toc75"/>
      <w:bookmarkStart w:id="51" w:name="_Toc26718931"/>
      <w:bookmarkStart w:id="52" w:name="_Toc26986772"/>
      <w:bookmarkStart w:id="53" w:name="_Toc16235"/>
      <w:bookmarkStart w:id="54" w:name="_Toc20429"/>
      <w:bookmarkStart w:id="55" w:name="_Toc16236"/>
      <w:bookmarkStart w:id="56" w:name="_Toc16050"/>
      <w:bookmarkStart w:id="57" w:name="_Toc16119"/>
      <w:bookmarkStart w:id="58" w:name="_Toc148087852"/>
      <w:bookmarkStart w:id="59" w:name="_Toc1822"/>
      <w:bookmarkStart w:id="60" w:name="_Toc26986531"/>
      <w:bookmarkStart w:id="61" w:name="_Toc1110"/>
      <w:bookmarkStart w:id="62" w:name="_Toc25939"/>
      <w:bookmarkStart w:id="63" w:name="_Toc25021"/>
      <w:bookmarkStart w:id="64" w:name="_Toc25166"/>
      <w:r>
        <w:rPr>
          <w:rFonts w:hint="eastAsia"/>
        </w:rPr>
        <w:t>规范性引用文件</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258"/>
        <w:ind w:firstLine="420"/>
      </w:pPr>
      <w:sdt>
        <w:sdtPr>
          <w:rPr>
            <w:rFonts w:hint="eastAsia"/>
          </w:rPr>
          <w:alias w:val="规范性引用文件文字描述选择"/>
          <w:tag w:val="规范性引用文件文字描述选择"/>
          <w:id w:val="715848253"/>
          <w:placeholder>
            <w:docPart w:val="628E8159288E40C2AB02C9C3B73C502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tab/>
      </w:r>
    </w:p>
    <w:p>
      <w:pPr>
        <w:pStyle w:val="258"/>
        <w:ind w:firstLine="420"/>
      </w:pPr>
      <w:bookmarkStart w:id="65" w:name="_Hlk140044169"/>
      <w:r>
        <w:rPr>
          <w:rFonts w:hint="eastAsia"/>
        </w:rPr>
        <w:t>GB/T 15776</w:t>
      </w:r>
      <w:bookmarkEnd w:id="65"/>
      <w:r>
        <w:rPr>
          <w:rFonts w:hint="eastAsia"/>
        </w:rPr>
        <w:t>造林技术规程</w:t>
      </w:r>
    </w:p>
    <w:p>
      <w:pPr>
        <w:pStyle w:val="258"/>
        <w:ind w:firstLine="420"/>
      </w:pPr>
      <w:bookmarkStart w:id="66" w:name="_Hlk140044218"/>
      <w:r>
        <w:rPr>
          <w:rFonts w:hint="eastAsia"/>
        </w:rPr>
        <w:t>GB/T 15781</w:t>
      </w:r>
      <w:bookmarkEnd w:id="66"/>
      <w:r>
        <w:rPr>
          <w:rFonts w:hint="eastAsia"/>
        </w:rPr>
        <w:t>森林抚育规程</w:t>
      </w:r>
    </w:p>
    <w:p>
      <w:pPr>
        <w:pStyle w:val="258"/>
        <w:ind w:firstLine="420"/>
      </w:pPr>
      <w:bookmarkStart w:id="67" w:name="_Hlk139964723"/>
      <w:r>
        <w:rPr>
          <w:rFonts w:hint="eastAsia"/>
        </w:rPr>
        <w:t>LY/T 1646</w:t>
      </w:r>
      <w:bookmarkEnd w:id="67"/>
      <w:r>
        <w:rPr>
          <w:rFonts w:hint="eastAsia"/>
        </w:rPr>
        <w:t>森林采伐作业规程</w:t>
      </w:r>
    </w:p>
    <w:p>
      <w:pPr>
        <w:pStyle w:val="258"/>
        <w:ind w:firstLine="420"/>
      </w:pPr>
      <w:r>
        <w:rPr>
          <w:rFonts w:hint="eastAsia"/>
        </w:rPr>
        <w:t>LY/T</w:t>
      </w:r>
      <w:r>
        <w:t xml:space="preserve"> </w:t>
      </w:r>
      <w:r>
        <w:rPr>
          <w:rFonts w:hint="eastAsia"/>
        </w:rPr>
        <w:t>1836工业人工林生态环境管理规程</w:t>
      </w:r>
    </w:p>
    <w:p>
      <w:pPr>
        <w:pStyle w:val="258"/>
        <w:ind w:firstLine="420"/>
        <w:rPr>
          <w:rFonts w:hint="eastAsia"/>
        </w:rPr>
      </w:pPr>
      <w:r>
        <w:t>LY/T</w:t>
      </w:r>
      <w:r>
        <w:rPr>
          <w:rFonts w:hint="eastAsia"/>
        </w:rPr>
        <w:t xml:space="preserve"> 2241森林生态系统生物多样性监测与评估规范</w:t>
      </w:r>
    </w:p>
    <w:p>
      <w:pPr>
        <w:pStyle w:val="258"/>
        <w:ind w:firstLine="420"/>
      </w:pPr>
      <w:r>
        <w:rPr>
          <w:rFonts w:hint="eastAsia"/>
        </w:rPr>
        <w:t>LY/T 2651退化森林生态系统恢复与重建技术规程</w:t>
      </w:r>
    </w:p>
    <w:p>
      <w:pPr>
        <w:pStyle w:val="259"/>
      </w:pPr>
      <w:bookmarkStart w:id="68" w:name="_Toc762"/>
      <w:bookmarkStart w:id="69" w:name="_Toc13087"/>
      <w:bookmarkStart w:id="70" w:name="_Toc16749"/>
      <w:bookmarkStart w:id="71" w:name="_Toc2719"/>
      <w:bookmarkStart w:id="72" w:name="_Toc22930"/>
      <w:bookmarkStart w:id="73" w:name="_Toc148087853"/>
      <w:bookmarkStart w:id="74" w:name="_Toc26710"/>
      <w:bookmarkStart w:id="75" w:name="_Toc28311"/>
      <w:bookmarkStart w:id="76" w:name="_Toc10436"/>
      <w:bookmarkStart w:id="77" w:name="_Toc19749"/>
      <w:bookmarkStart w:id="78" w:name="_Toc1330"/>
      <w:bookmarkStart w:id="79" w:name="_Toc14229"/>
      <w:r>
        <w:rPr>
          <w:rFonts w:hint="eastAsia"/>
        </w:rPr>
        <w:t>术语和定义</w:t>
      </w:r>
      <w:bookmarkEnd w:id="68"/>
      <w:bookmarkEnd w:id="69"/>
      <w:bookmarkEnd w:id="70"/>
      <w:bookmarkEnd w:id="71"/>
      <w:bookmarkEnd w:id="72"/>
      <w:bookmarkEnd w:id="73"/>
      <w:bookmarkEnd w:id="74"/>
      <w:bookmarkEnd w:id="75"/>
      <w:bookmarkEnd w:id="76"/>
      <w:bookmarkEnd w:id="77"/>
      <w:bookmarkEnd w:id="78"/>
      <w:bookmarkEnd w:id="79"/>
    </w:p>
    <w:sdt>
      <w:sdtPr>
        <w:alias w:val="术语和定义文字描述选择"/>
        <w:tag w:val="术语和定义文字描述选择"/>
        <w:id w:val="-1909835108"/>
        <w:placeholder>
          <w:docPart w:val="628E8159288E40C2AB02C9C3B73C5026"/>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258"/>
            <w:ind w:firstLine="420"/>
          </w:pPr>
          <w:bookmarkStart w:id="80" w:name="_Toc26986532"/>
          <w:bookmarkEnd w:id="80"/>
          <w:r>
            <w:t>下列术语和定义适用于本文件。</w:t>
          </w:r>
        </w:p>
      </w:sdtContent>
    </w:sdt>
    <w:p>
      <w:pPr>
        <w:pStyle w:val="323"/>
      </w:pPr>
    </w:p>
    <w:p>
      <w:pPr>
        <w:pStyle w:val="323"/>
      </w:pPr>
      <w:r>
        <w:rPr>
          <w:rFonts w:hint="eastAsia"/>
        </w:rPr>
        <w:t xml:space="preserve">    生物多样性友好的</w:t>
      </w:r>
      <w:r>
        <w:rPr>
          <w:rFonts w:hint="eastAsia"/>
          <w:lang w:val="en-US" w:eastAsia="zh-CN"/>
        </w:rPr>
        <w:t>人工</w:t>
      </w:r>
      <w:r>
        <w:rPr>
          <w:rFonts w:hint="eastAsia"/>
        </w:rPr>
        <w:t xml:space="preserve">林培育biodiversity friendly </w:t>
      </w:r>
      <w:r>
        <w:rPr>
          <w:rFonts w:hint="eastAsia"/>
          <w:lang w:val="en-US" w:eastAsia="zh-CN"/>
        </w:rPr>
        <w:t>plantation</w:t>
      </w:r>
      <w:r>
        <w:rPr>
          <w:rFonts w:hint="eastAsia"/>
        </w:rPr>
        <w:t xml:space="preserve"> silviculture</w:t>
      </w:r>
    </w:p>
    <w:p>
      <w:pPr>
        <w:pStyle w:val="258"/>
        <w:ind w:firstLine="420"/>
      </w:pPr>
      <w:r>
        <w:rPr>
          <w:rFonts w:hint="eastAsia"/>
        </w:rPr>
        <w:t>为实现森林可持续</w:t>
      </w:r>
      <w:r>
        <w:rPr>
          <w:rFonts w:hint="eastAsia"/>
          <w:lang w:val="en-US" w:eastAsia="zh-CN"/>
        </w:rPr>
        <w:t>经营</w:t>
      </w:r>
      <w:r>
        <w:rPr>
          <w:rFonts w:hint="eastAsia"/>
        </w:rPr>
        <w:t>而积极主动地保护动植物、微生物及其栖息地的</w:t>
      </w:r>
      <w:r>
        <w:rPr>
          <w:rFonts w:hint="eastAsia"/>
          <w:lang w:val="en-US" w:eastAsia="zh-CN"/>
        </w:rPr>
        <w:t>人工林</w:t>
      </w:r>
      <w:r>
        <w:rPr>
          <w:rFonts w:hint="eastAsia"/>
        </w:rPr>
        <w:t>培育</w:t>
      </w:r>
      <w:r>
        <w:rPr>
          <w:rFonts w:hint="eastAsia"/>
          <w:lang w:val="en-US" w:eastAsia="zh-CN"/>
        </w:rPr>
        <w:t>活动</w:t>
      </w:r>
      <w:r>
        <w:rPr>
          <w:rFonts w:hint="eastAsia"/>
        </w:rPr>
        <w:t>。</w:t>
      </w:r>
    </w:p>
    <w:p>
      <w:pPr>
        <w:pStyle w:val="323"/>
      </w:pPr>
    </w:p>
    <w:p>
      <w:pPr>
        <w:pStyle w:val="323"/>
      </w:pPr>
      <w:r>
        <w:rPr>
          <w:rFonts w:hint="eastAsia"/>
        </w:rPr>
        <w:t xml:space="preserve">    高保护价值森林high conservation value forest</w:t>
      </w:r>
    </w:p>
    <w:p>
      <w:pPr>
        <w:pStyle w:val="258"/>
        <w:ind w:firstLine="420"/>
      </w:pPr>
      <w:r>
        <w:rPr>
          <w:rFonts w:hint="eastAsia"/>
        </w:rPr>
        <w:t>在全球、区域或国家层面上具有一种或多种高保护价值(如，环境和社会价值)，且这些价值具有特殊意义或至关重要的森林。</w:t>
      </w:r>
    </w:p>
    <w:p>
      <w:pPr>
        <w:pStyle w:val="303"/>
      </w:pPr>
      <w:bookmarkStart w:id="81" w:name="_Toc139993782"/>
      <w:r>
        <w:rPr>
          <w:rFonts w:hint="eastAsia"/>
        </w:rPr>
        <w:t>参考林学名词（第二版）,</w:t>
      </w:r>
      <w:r>
        <w:t>2016</w:t>
      </w:r>
      <w:bookmarkEnd w:id="81"/>
      <w:r>
        <w:rPr>
          <w:rFonts w:hint="eastAsia"/>
        </w:rPr>
        <w:t>。</w:t>
      </w:r>
    </w:p>
    <w:p>
      <w:pPr>
        <w:pStyle w:val="323"/>
      </w:pPr>
    </w:p>
    <w:p>
      <w:pPr>
        <w:pStyle w:val="323"/>
      </w:pPr>
      <w:r>
        <w:rPr>
          <w:rFonts w:hint="eastAsia"/>
        </w:rPr>
        <w:t xml:space="preserve">    森林破碎化forest fragmentation</w:t>
      </w:r>
    </w:p>
    <w:p>
      <w:pPr>
        <w:pStyle w:val="258"/>
        <w:ind w:firstLine="420"/>
      </w:pPr>
      <w:r>
        <w:rPr>
          <w:rFonts w:hint="eastAsia"/>
        </w:rPr>
        <w:t>连续的森林覆盖被非林地分割为孤立的森林斑块，</w:t>
      </w:r>
      <w:r>
        <w:t>影响</w:t>
      </w:r>
      <w:r>
        <w:rPr>
          <w:rFonts w:hint="eastAsia"/>
        </w:rPr>
        <w:t>生物繁衍的过程。</w:t>
      </w:r>
    </w:p>
    <w:p>
      <w:pPr>
        <w:pStyle w:val="323"/>
        <w:outlineLvl w:val="1"/>
      </w:pPr>
      <w:bookmarkStart w:id="82" w:name="_Toc25130"/>
      <w:bookmarkStart w:id="83" w:name="_Toc25233"/>
      <w:bookmarkStart w:id="84" w:name="_Toc6877"/>
      <w:bookmarkStart w:id="85" w:name="_Toc29709"/>
      <w:bookmarkStart w:id="86" w:name="_Toc9939"/>
    </w:p>
    <w:p>
      <w:pPr>
        <w:pStyle w:val="323"/>
        <w:outlineLvl w:val="1"/>
      </w:pPr>
      <w:r>
        <w:rPr>
          <w:rFonts w:hint="eastAsia"/>
        </w:rPr>
        <w:t xml:space="preserve">    自然度naturalness</w:t>
      </w:r>
      <w:bookmarkEnd w:id="82"/>
      <w:bookmarkEnd w:id="83"/>
      <w:bookmarkEnd w:id="84"/>
      <w:bookmarkEnd w:id="85"/>
      <w:bookmarkEnd w:id="86"/>
    </w:p>
    <w:p>
      <w:pPr>
        <w:pStyle w:val="258"/>
        <w:ind w:firstLine="420"/>
        <w:rPr>
          <w:rFonts w:hint="eastAsia"/>
        </w:rPr>
      </w:pPr>
      <w:r>
        <w:rPr>
          <w:rFonts w:hint="eastAsia"/>
        </w:rPr>
        <w:t>指在一定地段内营造森林的生长发育状态与其自然成熟稳定生长的状态相比，在结构、组成、活力等方面的近似程度。</w:t>
      </w:r>
    </w:p>
    <w:p>
      <w:pPr>
        <w:pStyle w:val="303"/>
        <w:bidi w:val="0"/>
        <w:rPr>
          <w:rFonts w:hint="default"/>
          <w:lang w:val="en-US" w:eastAsia="zh-CN"/>
        </w:rPr>
      </w:pPr>
      <w:r>
        <w:rPr>
          <w:rFonts w:hint="eastAsia"/>
          <w:lang w:val="en-US" w:eastAsia="zh-CN"/>
        </w:rPr>
        <w:t>自然度分级见附录A。</w:t>
      </w:r>
    </w:p>
    <w:p>
      <w:pPr>
        <w:widowControl/>
        <w:jc w:val="left"/>
        <w:rPr>
          <w:rFonts w:ascii="宋体"/>
          <w:kern w:val="0"/>
          <w:szCs w:val="20"/>
        </w:rPr>
      </w:pPr>
      <w:r>
        <w:br w:type="page"/>
      </w:r>
    </w:p>
    <w:p>
      <w:pPr>
        <w:pStyle w:val="323"/>
      </w:pPr>
      <w:bookmarkStart w:id="87" w:name="_Toc80725415"/>
      <w:bookmarkStart w:id="88" w:name="_Toc80543540"/>
      <w:bookmarkStart w:id="89" w:name="_Toc80543247"/>
    </w:p>
    <w:p>
      <w:pPr>
        <w:pStyle w:val="323"/>
      </w:pPr>
      <w:r>
        <w:rPr>
          <w:rFonts w:hint="eastAsia"/>
        </w:rPr>
        <w:t xml:space="preserve">    食源树种 food source tree species</w:t>
      </w:r>
    </w:p>
    <w:p>
      <w:pPr>
        <w:pStyle w:val="258"/>
        <w:ind w:firstLine="420"/>
      </w:pPr>
      <w:r>
        <w:rPr>
          <w:rFonts w:hint="eastAsia"/>
        </w:rPr>
        <w:t>为森林鸟类、兽类、爬行类、两栖类、昆虫等提供以果实、幼芽</w:t>
      </w:r>
      <w:r>
        <w:rPr>
          <w:rFonts w:hint="eastAsia"/>
          <w:lang w:eastAsia="zh-CN"/>
        </w:rPr>
        <w:t>、</w:t>
      </w:r>
      <w:r>
        <w:rPr>
          <w:rFonts w:hint="eastAsia"/>
        </w:rPr>
        <w:t>嫩枝叶、腐殖质等作为初级食物资源的树种。</w:t>
      </w:r>
    </w:p>
    <w:p>
      <w:pPr>
        <w:pStyle w:val="323"/>
      </w:pPr>
    </w:p>
    <w:p>
      <w:pPr>
        <w:pStyle w:val="323"/>
      </w:pPr>
      <w:r>
        <w:rPr>
          <w:rFonts w:hint="eastAsia"/>
        </w:rPr>
        <w:t xml:space="preserve">    </w:t>
      </w:r>
      <w:r>
        <w:rPr>
          <w:rFonts w:hint="eastAsia"/>
          <w:lang w:val="en-US" w:eastAsia="zh-CN"/>
        </w:rPr>
        <w:t>森林</w:t>
      </w:r>
      <w:r>
        <w:rPr>
          <w:rFonts w:hint="eastAsia"/>
        </w:rPr>
        <w:t>景观恢复forest landscape restoration</w:t>
      </w:r>
    </w:p>
    <w:p>
      <w:pPr>
        <w:pStyle w:val="258"/>
        <w:ind w:firstLine="420"/>
      </w:pPr>
      <w:r>
        <w:rPr>
          <w:rFonts w:hint="eastAsia"/>
        </w:rPr>
        <w:t>恢复砍伐或退化后的森林景观的生态完整性和提高人类福祉的长期过程。</w:t>
      </w:r>
    </w:p>
    <w:p>
      <w:pPr>
        <w:pStyle w:val="323"/>
      </w:pPr>
    </w:p>
    <w:p>
      <w:pPr>
        <w:pStyle w:val="323"/>
      </w:pPr>
      <w:r>
        <w:rPr>
          <w:rFonts w:hint="eastAsia"/>
        </w:rPr>
        <w:t xml:space="preserve">    持续覆盖的林业continuous-coverage forestry</w:t>
      </w:r>
    </w:p>
    <w:p>
      <w:pPr>
        <w:pStyle w:val="258"/>
        <w:ind w:firstLine="420"/>
        <w:rPr>
          <w:rFonts w:asciiTheme="minorEastAsia" w:hAnsiTheme="minorEastAsia"/>
          <w:szCs w:val="24"/>
        </w:rPr>
      </w:pPr>
      <w:r>
        <w:rPr>
          <w:rFonts w:hint="eastAsia"/>
        </w:rPr>
        <w:t>采用择伐和人工辅助天然更新等措施,使林分林冠层一直保持在一层或多层水平,以在生产木材的同时减少环境负面影响的育林方式。</w:t>
      </w:r>
    </w:p>
    <w:bookmarkEnd w:id="87"/>
    <w:bookmarkEnd w:id="88"/>
    <w:bookmarkEnd w:id="89"/>
    <w:p>
      <w:pPr>
        <w:pStyle w:val="259"/>
        <w:outlineLvl w:val="0"/>
      </w:pPr>
      <w:bookmarkStart w:id="90" w:name="_Toc28550"/>
      <w:bookmarkStart w:id="91" w:name="_Toc80543249"/>
      <w:bookmarkStart w:id="92" w:name="_Toc5310"/>
      <w:bookmarkStart w:id="93" w:name="_Toc20998"/>
      <w:bookmarkStart w:id="94" w:name="_Toc148087854"/>
      <w:bookmarkStart w:id="95" w:name="_Toc19202"/>
      <w:bookmarkStart w:id="96" w:name="_Toc18602"/>
      <w:bookmarkStart w:id="97" w:name="_Toc8795"/>
      <w:bookmarkStart w:id="98" w:name="_Hlk139883199"/>
      <w:bookmarkStart w:id="99" w:name="_Toc139993784"/>
      <w:bookmarkStart w:id="100" w:name="_Toc26540"/>
      <w:bookmarkStart w:id="101" w:name="_Toc8066"/>
      <w:bookmarkStart w:id="102" w:name="_Toc30955"/>
      <w:bookmarkStart w:id="103" w:name="_Toc1372"/>
      <w:bookmarkStart w:id="104" w:name="_Toc18531"/>
      <w:bookmarkStart w:id="105" w:name="_Toc20509"/>
      <w:bookmarkStart w:id="106" w:name="_Toc7087"/>
      <w:r>
        <w:rPr>
          <w:rFonts w:hint="eastAsia"/>
        </w:rPr>
        <w:t>总体原则</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260"/>
        <w:spacing w:before="156" w:after="156"/>
        <w:outlineLvl w:val="1"/>
        <w:rPr>
          <w:rFonts w:hint="eastAsia" w:ascii="宋体" w:hAnsi="宋体" w:eastAsia="宋体" w:cs="宋体"/>
          <w:b w:val="0"/>
          <w:bCs w:val="0"/>
        </w:rPr>
      </w:pPr>
      <w:bookmarkStart w:id="107" w:name="_Toc26796"/>
      <w:bookmarkStart w:id="108" w:name="_Toc28317"/>
      <w:bookmarkStart w:id="109" w:name="_Toc8512"/>
      <w:bookmarkStart w:id="110" w:name="_Toc7161"/>
      <w:bookmarkStart w:id="111" w:name="_Toc9679"/>
      <w:bookmarkStart w:id="112" w:name="_Toc7096"/>
      <w:bookmarkStart w:id="113" w:name="_Toc19053"/>
      <w:bookmarkStart w:id="114" w:name="_Toc9134"/>
      <w:bookmarkStart w:id="115" w:name="_Hlk139883226"/>
      <w:r>
        <w:rPr>
          <w:rFonts w:hint="eastAsia" w:ascii="宋体" w:hAnsi="宋体" w:eastAsia="宋体" w:cs="宋体"/>
          <w:b w:val="0"/>
          <w:bCs w:val="0"/>
        </w:rPr>
        <w:t>生态优先，适地适树。遵循植被自然演替规律，维护和提高森林生态系统韧性和稳定性，发挥森林多种功能。</w:t>
      </w:r>
      <w:bookmarkEnd w:id="107"/>
      <w:bookmarkEnd w:id="108"/>
      <w:bookmarkEnd w:id="109"/>
      <w:bookmarkEnd w:id="110"/>
      <w:bookmarkEnd w:id="111"/>
      <w:bookmarkEnd w:id="112"/>
      <w:bookmarkEnd w:id="113"/>
      <w:bookmarkEnd w:id="114"/>
    </w:p>
    <w:p>
      <w:pPr>
        <w:pStyle w:val="260"/>
        <w:spacing w:before="156" w:after="156"/>
        <w:outlineLvl w:val="1"/>
        <w:rPr>
          <w:rFonts w:hint="eastAsia" w:ascii="宋体" w:hAnsi="宋体" w:eastAsia="宋体" w:cs="宋体"/>
          <w:b w:val="0"/>
          <w:bCs w:val="0"/>
        </w:rPr>
      </w:pPr>
      <w:bookmarkStart w:id="116" w:name="_Toc23671"/>
      <w:bookmarkStart w:id="117" w:name="_Toc7436"/>
      <w:bookmarkStart w:id="118" w:name="_Toc4403"/>
      <w:bookmarkStart w:id="119" w:name="_Toc3280"/>
      <w:bookmarkStart w:id="120" w:name="_Toc16979"/>
      <w:bookmarkStart w:id="121" w:name="_Toc13310"/>
      <w:bookmarkStart w:id="122" w:name="_Toc10001"/>
      <w:bookmarkStart w:id="123" w:name="_Toc843"/>
      <w:r>
        <w:rPr>
          <w:rFonts w:hint="eastAsia" w:ascii="宋体" w:hAnsi="宋体" w:eastAsia="宋体" w:cs="宋体"/>
          <w:b w:val="0"/>
          <w:bCs w:val="0"/>
        </w:rPr>
        <w:t>将保护措施穿于森林培育全过程。因地制宜，分类施策，趋利避害，确保培育措施促进生物多样性。</w:t>
      </w:r>
      <w:bookmarkEnd w:id="116"/>
      <w:bookmarkEnd w:id="117"/>
      <w:bookmarkEnd w:id="118"/>
      <w:bookmarkEnd w:id="119"/>
      <w:bookmarkEnd w:id="120"/>
      <w:bookmarkEnd w:id="121"/>
      <w:bookmarkEnd w:id="122"/>
      <w:bookmarkEnd w:id="123"/>
    </w:p>
    <w:p>
      <w:pPr>
        <w:pStyle w:val="260"/>
        <w:spacing w:before="156" w:after="156"/>
        <w:outlineLvl w:val="1"/>
        <w:rPr>
          <w:rFonts w:hint="eastAsia" w:ascii="宋体" w:hAnsi="宋体" w:eastAsia="宋体" w:cs="宋体"/>
          <w:b w:val="0"/>
          <w:bCs w:val="0"/>
        </w:rPr>
      </w:pPr>
      <w:bookmarkStart w:id="124" w:name="_Toc22002"/>
      <w:bookmarkStart w:id="125" w:name="_Toc30673"/>
      <w:bookmarkStart w:id="126" w:name="_Toc8743"/>
      <w:bookmarkStart w:id="127" w:name="_Toc9333"/>
      <w:bookmarkStart w:id="128" w:name="_Toc22592"/>
      <w:bookmarkStart w:id="129" w:name="_Toc15512"/>
      <w:bookmarkStart w:id="130" w:name="_Toc13784"/>
      <w:bookmarkStart w:id="131" w:name="_Toc30525"/>
      <w:r>
        <w:rPr>
          <w:rFonts w:hint="eastAsia" w:ascii="宋体" w:hAnsi="宋体" w:eastAsia="宋体" w:cs="宋体"/>
          <w:b w:val="0"/>
          <w:bCs w:val="0"/>
        </w:rPr>
        <w:t>保护和利用相结合。发挥生物多样性的基础支撑和生态生产力保障作用，促进经济收益和林分提质增效。</w:t>
      </w:r>
      <w:bookmarkEnd w:id="124"/>
      <w:bookmarkEnd w:id="125"/>
      <w:bookmarkEnd w:id="126"/>
      <w:bookmarkEnd w:id="127"/>
      <w:bookmarkEnd w:id="128"/>
      <w:bookmarkEnd w:id="129"/>
      <w:bookmarkEnd w:id="130"/>
      <w:bookmarkEnd w:id="131"/>
    </w:p>
    <w:p>
      <w:pPr>
        <w:pStyle w:val="260"/>
        <w:spacing w:before="156" w:after="156"/>
        <w:outlineLvl w:val="1"/>
        <w:rPr>
          <w:rFonts w:hint="eastAsia" w:ascii="宋体" w:hAnsi="宋体" w:eastAsia="宋体" w:cs="宋体"/>
          <w:b w:val="0"/>
          <w:bCs w:val="0"/>
        </w:rPr>
      </w:pPr>
      <w:bookmarkStart w:id="132" w:name="_Toc6542"/>
      <w:bookmarkStart w:id="133" w:name="_Toc29643"/>
      <w:bookmarkStart w:id="134" w:name="_Toc18015"/>
      <w:bookmarkStart w:id="135" w:name="_Toc2474"/>
      <w:bookmarkStart w:id="136" w:name="_Toc902"/>
      <w:bookmarkStart w:id="137" w:name="_Toc16138"/>
      <w:bookmarkStart w:id="138" w:name="_Toc26534"/>
      <w:bookmarkStart w:id="139" w:name="_Toc17626"/>
      <w:r>
        <w:rPr>
          <w:rFonts w:hint="eastAsia" w:ascii="宋体" w:hAnsi="宋体" w:eastAsia="宋体" w:cs="宋体"/>
          <w:b w:val="0"/>
          <w:bCs w:val="0"/>
        </w:rPr>
        <w:t>多方参与，循序渐进。社会、政府、非政府组织等利益相关方各尽其责，协调促进生物多样性保护发展。</w:t>
      </w:r>
      <w:bookmarkEnd w:id="132"/>
      <w:bookmarkEnd w:id="133"/>
      <w:bookmarkEnd w:id="134"/>
      <w:bookmarkEnd w:id="135"/>
      <w:bookmarkEnd w:id="136"/>
      <w:bookmarkEnd w:id="137"/>
      <w:bookmarkEnd w:id="138"/>
      <w:bookmarkEnd w:id="139"/>
    </w:p>
    <w:bookmarkEnd w:id="115"/>
    <w:p>
      <w:pPr>
        <w:pStyle w:val="259"/>
        <w:outlineLvl w:val="0"/>
      </w:pPr>
      <w:bookmarkStart w:id="140" w:name="_Toc12439"/>
      <w:bookmarkStart w:id="141" w:name="_Toc29506"/>
      <w:bookmarkStart w:id="142" w:name="_Toc21564"/>
      <w:bookmarkStart w:id="143" w:name="_Toc5919"/>
      <w:bookmarkStart w:id="144" w:name="_Toc5465"/>
      <w:bookmarkStart w:id="145" w:name="_Toc3114"/>
      <w:bookmarkStart w:id="146" w:name="_Toc4764"/>
      <w:bookmarkStart w:id="147" w:name="_Toc148087855"/>
      <w:bookmarkStart w:id="148" w:name="_Toc893"/>
      <w:bookmarkStart w:id="149" w:name="_Toc22534"/>
      <w:bookmarkStart w:id="150" w:name="_Toc18088"/>
      <w:bookmarkStart w:id="151" w:name="_Toc15477"/>
      <w:bookmarkStart w:id="152" w:name="_Toc23368"/>
      <w:bookmarkStart w:id="153" w:name="_Toc3599"/>
      <w:r>
        <w:rPr>
          <w:rFonts w:hint="eastAsia"/>
        </w:rPr>
        <w:t>技术措施</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260"/>
        <w:outlineLvl w:val="1"/>
      </w:pPr>
      <w:bookmarkStart w:id="154" w:name="_Toc28676"/>
      <w:bookmarkStart w:id="155" w:name="_Toc11966"/>
      <w:bookmarkStart w:id="156" w:name="_Toc25926"/>
      <w:bookmarkStart w:id="157" w:name="_Toc21876"/>
      <w:bookmarkStart w:id="158" w:name="_Toc8802"/>
      <w:bookmarkStart w:id="159" w:name="_Toc13415"/>
      <w:bookmarkStart w:id="160" w:name="_Toc2323"/>
      <w:bookmarkStart w:id="161" w:name="_Toc31811"/>
      <w:r>
        <w:rPr>
          <w:rFonts w:hint="eastAsia"/>
        </w:rPr>
        <w:t>准备阶段</w:t>
      </w:r>
      <w:bookmarkEnd w:id="154"/>
      <w:bookmarkEnd w:id="155"/>
      <w:bookmarkEnd w:id="156"/>
      <w:bookmarkEnd w:id="157"/>
      <w:bookmarkEnd w:id="158"/>
      <w:bookmarkEnd w:id="159"/>
      <w:bookmarkEnd w:id="160"/>
      <w:bookmarkEnd w:id="161"/>
    </w:p>
    <w:p>
      <w:pPr>
        <w:pStyle w:val="261"/>
        <w:spacing w:before="156" w:after="156"/>
        <w:outlineLvl w:val="2"/>
      </w:pPr>
      <w:bookmarkStart w:id="162" w:name="_Toc139405575"/>
      <w:bookmarkStart w:id="163" w:name="_Toc139660620"/>
      <w:bookmarkStart w:id="164" w:name="_Toc139993789"/>
      <w:bookmarkStart w:id="165" w:name="_Toc500"/>
      <w:bookmarkStart w:id="166" w:name="_Toc27834"/>
      <w:bookmarkStart w:id="167" w:name="_Toc12224"/>
      <w:bookmarkStart w:id="168" w:name="_Hlk148084286"/>
      <w:r>
        <w:rPr>
          <w:rFonts w:hint="eastAsia"/>
        </w:rPr>
        <w:t>规划设计</w:t>
      </w:r>
      <w:bookmarkEnd w:id="162"/>
      <w:bookmarkEnd w:id="163"/>
      <w:bookmarkEnd w:id="164"/>
      <w:bookmarkEnd w:id="165"/>
      <w:bookmarkEnd w:id="166"/>
      <w:bookmarkEnd w:id="167"/>
    </w:p>
    <w:bookmarkEnd w:id="168"/>
    <w:p>
      <w:pPr>
        <w:pStyle w:val="305"/>
        <w:ind w:left="839" w:hanging="419"/>
      </w:pPr>
      <w:r>
        <w:rPr>
          <w:rFonts w:hint="eastAsia"/>
          <w:lang w:val="en-US" w:eastAsia="zh-CN"/>
        </w:rPr>
        <w:t>将</w:t>
      </w:r>
      <w:r>
        <w:rPr>
          <w:rFonts w:hint="eastAsia"/>
        </w:rPr>
        <w:t>用材林培育纳入当地</w:t>
      </w:r>
      <w:r>
        <w:rPr>
          <w:rFonts w:hint="eastAsia"/>
          <w:lang w:val="en-US" w:eastAsia="zh-CN"/>
        </w:rPr>
        <w:t>生态相关规划</w:t>
      </w:r>
      <w:r>
        <w:rPr>
          <w:rFonts w:hint="eastAsia"/>
        </w:rPr>
        <w:t>，</w:t>
      </w:r>
      <w:r>
        <w:rPr>
          <w:rFonts w:hint="eastAsia"/>
          <w:lang w:val="en-US" w:eastAsia="zh-CN"/>
        </w:rPr>
        <w:t>加强</w:t>
      </w:r>
      <w:r>
        <w:rPr>
          <w:rFonts w:hint="eastAsia"/>
        </w:rPr>
        <w:t>生态廊道建设，</w:t>
      </w:r>
      <w:r>
        <w:rPr>
          <w:rFonts w:hint="eastAsia"/>
          <w:lang w:val="en-US" w:eastAsia="zh-CN"/>
        </w:rPr>
        <w:t>改善森林破碎化，</w:t>
      </w:r>
      <w:r>
        <w:rPr>
          <w:rFonts w:hint="eastAsia"/>
        </w:rPr>
        <w:t>满足野生动植物迁徙繁衍和生态系统功能发挥的需要。</w:t>
      </w:r>
    </w:p>
    <w:p>
      <w:pPr>
        <w:pStyle w:val="305"/>
        <w:ind w:left="839" w:hanging="419"/>
      </w:pPr>
      <w:r>
        <w:rPr>
          <w:rFonts w:hint="eastAsia"/>
        </w:rPr>
        <w:t>把生物多样性保护纳入经营单位《森林经营方案》，明确保护对象、小班范围、保护责任、措施和资金来源。</w:t>
      </w:r>
    </w:p>
    <w:p>
      <w:pPr>
        <w:pStyle w:val="305"/>
        <w:ind w:left="839" w:hanging="419"/>
      </w:pPr>
      <w:bookmarkStart w:id="169" w:name="_Hlk138963815"/>
      <w:r>
        <w:rPr>
          <w:rFonts w:hint="eastAsia"/>
        </w:rPr>
        <w:t>将生物多样性现状纳入作业设计调查，主要包括：</w:t>
      </w:r>
    </w:p>
    <w:p>
      <w:pPr>
        <w:pStyle w:val="523"/>
        <w:ind w:hanging="420"/>
      </w:pPr>
      <w:r>
        <w:rPr>
          <w:rFonts w:hint="eastAsia"/>
        </w:rPr>
        <w:t>乔、灌、草的种类、密度和盖度，群落结构；</w:t>
      </w:r>
    </w:p>
    <w:p>
      <w:pPr>
        <w:pStyle w:val="523"/>
        <w:ind w:hanging="420"/>
      </w:pPr>
      <w:r>
        <w:rPr>
          <w:rFonts w:hint="eastAsia"/>
        </w:rPr>
        <w:t>目的树种的遗传多样性和天然更新的来源、效率和质量；</w:t>
      </w:r>
    </w:p>
    <w:p>
      <w:pPr>
        <w:pStyle w:val="523"/>
        <w:ind w:hanging="420"/>
      </w:pPr>
      <w:r>
        <w:rPr>
          <w:rFonts w:hint="eastAsia"/>
        </w:rPr>
        <w:t>濒危或受保护动植物品种、数量和分布；</w:t>
      </w:r>
    </w:p>
    <w:p>
      <w:pPr>
        <w:pStyle w:val="523"/>
        <w:ind w:hanging="420"/>
      </w:pPr>
      <w:r>
        <w:rPr>
          <w:rFonts w:hint="eastAsia"/>
        </w:rPr>
        <w:t>枯木、动物巢穴、水源、食源、等野生动物生存或栖息地要素；</w:t>
      </w:r>
    </w:p>
    <w:p>
      <w:pPr>
        <w:pStyle w:val="523"/>
        <w:ind w:hanging="420"/>
      </w:pPr>
      <w:r>
        <w:rPr>
          <w:rFonts w:hint="eastAsia"/>
        </w:rPr>
        <w:t>重点保护野生动物及其食物来源区、饮水区、栖息地及来往通道情况。</w:t>
      </w:r>
    </w:p>
    <w:p>
      <w:pPr>
        <w:pStyle w:val="523"/>
        <w:numPr>
          <w:ilvl w:val="0"/>
          <w:numId w:val="0"/>
        </w:numPr>
        <w:ind w:firstLine="420" w:firstLineChars="200"/>
      </w:pPr>
      <w:r>
        <w:t>d</w:t>
      </w:r>
      <w:r>
        <w:rPr>
          <w:rFonts w:hint="eastAsia"/>
        </w:rPr>
        <w:t>） 结合经营单位用材林培育需求评价生物多样性状况，参考附录</w:t>
      </w:r>
      <w:r>
        <w:rPr>
          <w:rFonts w:hint="eastAsia"/>
          <w:lang w:val="en-US" w:eastAsia="zh-CN"/>
        </w:rPr>
        <w:t>B</w:t>
      </w:r>
      <w:r>
        <w:rPr>
          <w:rFonts w:hint="eastAsia"/>
        </w:rPr>
        <w:t>。</w:t>
      </w:r>
    </w:p>
    <w:p>
      <w:pPr>
        <w:pStyle w:val="261"/>
        <w:spacing w:before="156" w:after="156"/>
        <w:outlineLvl w:val="2"/>
      </w:pPr>
      <w:bookmarkStart w:id="170" w:name="_Toc9098"/>
      <w:bookmarkStart w:id="171" w:name="_Toc28971"/>
      <w:bookmarkStart w:id="172" w:name="_Toc29088"/>
      <w:r>
        <w:rPr>
          <w:rFonts w:hint="eastAsia"/>
        </w:rPr>
        <w:t>立地选择</w:t>
      </w:r>
      <w:bookmarkEnd w:id="170"/>
      <w:bookmarkEnd w:id="171"/>
      <w:bookmarkEnd w:id="172"/>
    </w:p>
    <w:p>
      <w:pPr>
        <w:pStyle w:val="305"/>
        <w:numPr>
          <w:ilvl w:val="0"/>
          <w:numId w:val="31"/>
        </w:numPr>
        <w:ind w:left="839" w:hanging="419"/>
        <w:rPr>
          <w:rFonts w:hint="eastAsia"/>
        </w:rPr>
      </w:pPr>
      <w:r>
        <w:rPr>
          <w:rFonts w:hint="eastAsia"/>
        </w:rPr>
        <w:t>在规划调查基础上科学筛选营造林用地，用材林立地选择以采伐迹地、低产低效人工林地、有裸露地面并长有外来植物的退化林地</w:t>
      </w:r>
      <w:r>
        <w:rPr>
          <w:rFonts w:hint="eastAsia"/>
          <w:lang w:eastAsia="zh-CN"/>
        </w:rPr>
        <w:t>、</w:t>
      </w:r>
      <w:r>
        <w:rPr>
          <w:rFonts w:hint="eastAsia"/>
        </w:rPr>
        <w:t>退耕还林地等为主。</w:t>
      </w:r>
    </w:p>
    <w:p>
      <w:pPr>
        <w:pStyle w:val="305"/>
        <w:numPr>
          <w:ilvl w:val="0"/>
          <w:numId w:val="31"/>
        </w:numPr>
        <w:ind w:left="839" w:hanging="419"/>
      </w:pPr>
      <w:r>
        <w:rPr>
          <w:rFonts w:hint="eastAsia"/>
        </w:rPr>
        <w:t>天然林（如天然次生疏林地）、高保护价值森林、干旱半干旱地区长有顶级演替灌木群落的土地，以及生长有国家重点保护的植物或作为国家重点保护动物栖息地，不</w:t>
      </w:r>
      <w:r>
        <w:rPr>
          <w:rFonts w:hint="eastAsia"/>
          <w:lang w:val="en-US" w:eastAsia="zh-CN"/>
        </w:rPr>
        <w:t>应</w:t>
      </w:r>
      <w:r>
        <w:rPr>
          <w:rFonts w:hint="eastAsia"/>
        </w:rPr>
        <w:t>用作用材林培育立地。</w:t>
      </w:r>
    </w:p>
    <w:p>
      <w:pPr>
        <w:pStyle w:val="261"/>
        <w:spacing w:before="156" w:after="156"/>
        <w:outlineLvl w:val="2"/>
      </w:pPr>
      <w:bookmarkStart w:id="173" w:name="_Toc139660621"/>
      <w:bookmarkStart w:id="174" w:name="_Toc29645"/>
      <w:bookmarkStart w:id="175" w:name="_Toc410"/>
      <w:bookmarkStart w:id="176" w:name="_Toc26668"/>
      <w:bookmarkStart w:id="177" w:name="_Toc139993790"/>
      <w:bookmarkStart w:id="178" w:name="_Toc139405576"/>
      <w:r>
        <w:rPr>
          <w:rFonts w:hint="eastAsia"/>
        </w:rPr>
        <w:t>树种选择</w:t>
      </w:r>
      <w:bookmarkEnd w:id="173"/>
      <w:bookmarkEnd w:id="174"/>
      <w:bookmarkEnd w:id="175"/>
      <w:bookmarkEnd w:id="176"/>
      <w:bookmarkEnd w:id="177"/>
      <w:bookmarkEnd w:id="178"/>
    </w:p>
    <w:bookmarkEnd w:id="169"/>
    <w:p>
      <w:pPr>
        <w:pStyle w:val="305"/>
        <w:numPr>
          <w:ilvl w:val="0"/>
          <w:numId w:val="32"/>
        </w:numPr>
      </w:pPr>
      <w:r>
        <w:rPr>
          <w:rFonts w:hint="eastAsia"/>
        </w:rPr>
        <w:t>根据经营目标选择乡土树种或被证明适应性强、非入侵性的引进树种开展造林或补植。</w:t>
      </w:r>
    </w:p>
    <w:p>
      <w:pPr>
        <w:pStyle w:val="305"/>
        <w:numPr>
          <w:ilvl w:val="0"/>
          <w:numId w:val="32"/>
        </w:numPr>
      </w:pPr>
      <w:r>
        <w:rPr>
          <w:rFonts w:hint="eastAsia"/>
        </w:rPr>
        <w:t>优选菌根树种造林或接种菌根菌，提升植物根系及近根土壤微生物数量，促进林地养分循环及植株生长。</w:t>
      </w:r>
    </w:p>
    <w:p>
      <w:pPr>
        <w:pStyle w:val="305"/>
        <w:numPr>
          <w:ilvl w:val="0"/>
          <w:numId w:val="32"/>
        </w:numPr>
      </w:pPr>
      <w:r>
        <w:rPr>
          <w:rFonts w:hint="eastAsia"/>
        </w:rPr>
        <w:t>针对土壤营养状况选择固氮树种，增加针叶纯林改培中阔叶树种的比例，提高土壤肥力。</w:t>
      </w:r>
    </w:p>
    <w:p>
      <w:pPr>
        <w:pStyle w:val="305"/>
        <w:numPr>
          <w:ilvl w:val="0"/>
          <w:numId w:val="32"/>
        </w:numPr>
      </w:pPr>
      <w:r>
        <w:rPr>
          <w:rFonts w:hint="eastAsia"/>
        </w:rPr>
        <w:t>针对保护对象选择食源树种，为野生动物生存繁衍提供条件。</w:t>
      </w:r>
    </w:p>
    <w:p>
      <w:pPr>
        <w:pStyle w:val="261"/>
        <w:spacing w:before="156" w:after="156"/>
        <w:outlineLvl w:val="2"/>
      </w:pPr>
      <w:bookmarkStart w:id="179" w:name="_Toc139405577"/>
      <w:bookmarkStart w:id="180" w:name="_Toc12232"/>
      <w:bookmarkStart w:id="181" w:name="_Toc139993791"/>
      <w:bookmarkStart w:id="182" w:name="_Toc29679"/>
      <w:bookmarkStart w:id="183" w:name="_Toc25689"/>
      <w:bookmarkStart w:id="184" w:name="_Toc139660622"/>
      <w:r>
        <w:rPr>
          <w:rFonts w:hint="eastAsia"/>
        </w:rPr>
        <w:t>育苗</w:t>
      </w:r>
      <w:bookmarkEnd w:id="179"/>
      <w:bookmarkEnd w:id="180"/>
      <w:bookmarkEnd w:id="181"/>
      <w:bookmarkEnd w:id="182"/>
      <w:bookmarkEnd w:id="183"/>
      <w:bookmarkEnd w:id="184"/>
    </w:p>
    <w:p>
      <w:pPr>
        <w:pStyle w:val="305"/>
        <w:numPr>
          <w:ilvl w:val="0"/>
          <w:numId w:val="33"/>
        </w:numPr>
      </w:pPr>
      <w:r>
        <w:rPr>
          <w:rFonts w:hint="eastAsia"/>
        </w:rPr>
        <w:t>优先采用通过认定（审定）的种子园、母树林、采穗圃等优良种质材料，培育的遗传多样性高的优质苗木。</w:t>
      </w:r>
    </w:p>
    <w:p>
      <w:pPr>
        <w:pStyle w:val="305"/>
        <w:numPr>
          <w:ilvl w:val="0"/>
          <w:numId w:val="33"/>
        </w:numPr>
      </w:pPr>
      <w:r>
        <w:rPr>
          <w:rFonts w:hint="eastAsia"/>
        </w:rPr>
        <w:t xml:space="preserve">按照相关苗木质量标准，选取当地种源一级苗造林，苗木的处理、出圃、搬运、保存等，按相关标准执行。 </w:t>
      </w:r>
    </w:p>
    <w:p>
      <w:pPr>
        <w:pStyle w:val="261"/>
        <w:spacing w:before="156" w:after="156"/>
        <w:outlineLvl w:val="2"/>
      </w:pPr>
      <w:bookmarkStart w:id="185" w:name="_Toc139660623"/>
      <w:bookmarkStart w:id="186" w:name="_Toc30728"/>
      <w:bookmarkStart w:id="187" w:name="_Toc139405578"/>
      <w:bookmarkStart w:id="188" w:name="_Toc21032"/>
      <w:bookmarkStart w:id="189" w:name="_Toc22176"/>
      <w:bookmarkStart w:id="190" w:name="_Toc139993792"/>
      <w:r>
        <w:rPr>
          <w:rFonts w:hint="eastAsia"/>
        </w:rPr>
        <w:t>林地清理和整地</w:t>
      </w:r>
      <w:bookmarkEnd w:id="185"/>
      <w:bookmarkEnd w:id="186"/>
      <w:bookmarkEnd w:id="187"/>
      <w:bookmarkEnd w:id="188"/>
      <w:bookmarkEnd w:id="189"/>
      <w:bookmarkEnd w:id="190"/>
    </w:p>
    <w:p>
      <w:pPr>
        <w:pStyle w:val="305"/>
        <w:numPr>
          <w:ilvl w:val="0"/>
          <w:numId w:val="34"/>
        </w:numPr>
      </w:pPr>
      <w:r>
        <w:rPr>
          <w:rFonts w:hint="eastAsia"/>
        </w:rPr>
        <w:t>考虑地形、岩性、坡度，植被、土壤、树种等条件和水土保持要求，采用带状、穴状、块状整地代替全面整地，参照G</w:t>
      </w:r>
      <w:r>
        <w:t>B/T 15776</w:t>
      </w:r>
      <w:r>
        <w:rPr>
          <w:rFonts w:hint="eastAsia"/>
        </w:rPr>
        <w:t>的有关规定执行。</w:t>
      </w:r>
    </w:p>
    <w:p>
      <w:pPr>
        <w:pStyle w:val="305"/>
        <w:numPr>
          <w:ilvl w:val="0"/>
          <w:numId w:val="34"/>
        </w:numPr>
      </w:pPr>
      <w:r>
        <w:rPr>
          <w:rFonts w:hint="eastAsia"/>
        </w:rPr>
        <w:t>将造林前清理的有碍于苗木生长的地被物、采伐剩余物、火烧剩余物，堆成长垅，</w:t>
      </w:r>
      <w:r>
        <w:rPr>
          <w:rFonts w:hint="eastAsia"/>
          <w:lang w:val="en-US" w:eastAsia="zh-CN"/>
        </w:rPr>
        <w:t>保护一定比例的倒木和枯立木，</w:t>
      </w:r>
      <w:r>
        <w:rPr>
          <w:rFonts w:hint="eastAsia"/>
        </w:rPr>
        <w:t>作为野生动物的潜在庇护地。</w:t>
      </w:r>
    </w:p>
    <w:p>
      <w:pPr>
        <w:pStyle w:val="305"/>
        <w:numPr>
          <w:ilvl w:val="0"/>
          <w:numId w:val="34"/>
        </w:numPr>
      </w:pPr>
      <w:r>
        <w:rPr>
          <w:rFonts w:hint="eastAsia"/>
        </w:rPr>
        <w:t>注意保护冲沟、山脊部位的天然阔叶树，以及溪、泉、河流等自然湿地，保留疏林、沟谷中的阔叶树及灌草植被，为保护和恢复野生物种栖息地创造条件。</w:t>
      </w:r>
    </w:p>
    <w:p>
      <w:pPr>
        <w:pStyle w:val="260"/>
        <w:outlineLvl w:val="1"/>
      </w:pPr>
      <w:bookmarkStart w:id="191" w:name="_Toc139660624"/>
      <w:bookmarkStart w:id="192" w:name="_Toc16965"/>
      <w:bookmarkStart w:id="193" w:name="_Toc139993793"/>
      <w:bookmarkStart w:id="194" w:name="_Toc4987"/>
      <w:bookmarkStart w:id="195" w:name="_Toc28095"/>
      <w:bookmarkStart w:id="196" w:name="_Toc17238"/>
      <w:bookmarkStart w:id="197" w:name="_Toc16905"/>
      <w:bookmarkStart w:id="198" w:name="_Toc28007"/>
      <w:bookmarkStart w:id="199" w:name="_Toc9171"/>
      <w:bookmarkStart w:id="200" w:name="_Toc8742"/>
      <w:r>
        <w:rPr>
          <w:rFonts w:hint="eastAsia"/>
        </w:rPr>
        <w:t>栽植阶段</w:t>
      </w:r>
      <w:bookmarkEnd w:id="191"/>
      <w:bookmarkEnd w:id="192"/>
      <w:bookmarkEnd w:id="193"/>
      <w:bookmarkEnd w:id="194"/>
      <w:bookmarkEnd w:id="195"/>
      <w:bookmarkEnd w:id="196"/>
      <w:bookmarkEnd w:id="197"/>
      <w:bookmarkEnd w:id="198"/>
      <w:bookmarkEnd w:id="199"/>
      <w:bookmarkEnd w:id="200"/>
    </w:p>
    <w:p>
      <w:pPr>
        <w:pStyle w:val="261"/>
        <w:spacing w:before="156" w:after="156"/>
        <w:outlineLvl w:val="2"/>
        <w:rPr>
          <w:rFonts w:hint="eastAsia"/>
          <w:lang w:val="en-US" w:eastAsia="zh-CN"/>
        </w:rPr>
      </w:pPr>
      <w:bookmarkStart w:id="201" w:name="_Toc1746"/>
      <w:bookmarkStart w:id="202" w:name="_Toc3952"/>
      <w:bookmarkStart w:id="203" w:name="_Toc7588"/>
      <w:r>
        <w:rPr>
          <w:rFonts w:hint="eastAsia"/>
          <w:lang w:val="en-US" w:eastAsia="zh-CN"/>
        </w:rPr>
        <w:t>新造林</w:t>
      </w:r>
      <w:bookmarkEnd w:id="201"/>
      <w:bookmarkEnd w:id="202"/>
      <w:bookmarkEnd w:id="203"/>
    </w:p>
    <w:p>
      <w:pPr>
        <w:pStyle w:val="305"/>
        <w:numPr>
          <w:ilvl w:val="0"/>
          <w:numId w:val="35"/>
        </w:numPr>
      </w:pPr>
      <w:r>
        <w:rPr>
          <w:rFonts w:hint="eastAsia"/>
        </w:rPr>
        <w:t>选择不同亚种、无性系、变种、变型营造纯林，不宜大面积营造单一无性系纯林，保存种内的遗传多样性</w:t>
      </w:r>
      <w:r>
        <w:rPr>
          <w:rFonts w:hint="eastAsia"/>
          <w:lang w:eastAsia="zh-CN"/>
        </w:rPr>
        <w:t>，</w:t>
      </w:r>
      <w:r>
        <w:rPr>
          <w:rFonts w:hint="eastAsia"/>
          <w:lang w:val="en-US" w:eastAsia="zh-CN"/>
        </w:rPr>
        <w:t>技术措施</w:t>
      </w:r>
      <w:r>
        <w:rPr>
          <w:rFonts w:hint="eastAsia"/>
        </w:rPr>
        <w:t>参考</w:t>
      </w:r>
      <w:r>
        <w:t>LY/T 1836</w:t>
      </w:r>
      <w:r>
        <w:rPr>
          <w:rFonts w:hint="eastAsia"/>
          <w:lang w:val="en-US" w:eastAsia="zh-CN"/>
        </w:rPr>
        <w:t>的规定</w:t>
      </w:r>
      <w:r>
        <w:rPr>
          <w:rFonts w:hint="eastAsia"/>
        </w:rPr>
        <w:t>。</w:t>
      </w:r>
    </w:p>
    <w:p>
      <w:pPr>
        <w:pStyle w:val="305"/>
        <w:numPr>
          <w:ilvl w:val="0"/>
          <w:numId w:val="35"/>
        </w:numPr>
      </w:pPr>
      <w:r>
        <w:rPr>
          <w:rFonts w:hint="eastAsia"/>
        </w:rPr>
        <w:t>控制炼山整地，防止水土流失，维护土壤微生物群落和地下生物群落。</w:t>
      </w:r>
    </w:p>
    <w:p>
      <w:pPr>
        <w:pStyle w:val="305"/>
        <w:numPr>
          <w:ilvl w:val="0"/>
          <w:numId w:val="35"/>
        </w:numPr>
        <w:rPr>
          <w:rFonts w:hint="eastAsia"/>
        </w:rPr>
      </w:pPr>
      <w:r>
        <w:rPr>
          <w:rFonts w:hint="eastAsia"/>
        </w:rPr>
        <w:t>采用单一树种小块镶嵌作业法代替传统大面积纯林种植。</w:t>
      </w:r>
    </w:p>
    <w:p>
      <w:pPr>
        <w:pStyle w:val="305"/>
        <w:numPr>
          <w:ilvl w:val="0"/>
          <w:numId w:val="35"/>
        </w:numPr>
        <w:rPr>
          <w:rFonts w:hint="eastAsia"/>
        </w:rPr>
      </w:pPr>
      <w:r>
        <w:rPr>
          <w:rFonts w:hint="eastAsia"/>
        </w:rPr>
        <w:t>选择生物学特性匹配，在时间、空间、功能利用方面上相互补充的树种，营造混交林</w:t>
      </w:r>
      <w:r>
        <w:rPr>
          <w:rFonts w:hint="eastAsia"/>
          <w:lang w:eastAsia="zh-CN"/>
        </w:rPr>
        <w:t>，</w:t>
      </w:r>
      <w:r>
        <w:rPr>
          <w:rFonts w:hint="eastAsia"/>
        </w:rPr>
        <w:t>参考GB/T 15776。</w:t>
      </w:r>
    </w:p>
    <w:p>
      <w:pPr>
        <w:pStyle w:val="261"/>
        <w:spacing w:before="156" w:after="156"/>
        <w:outlineLvl w:val="2"/>
        <w:rPr>
          <w:rFonts w:hint="default"/>
          <w:lang w:val="en-US" w:eastAsia="zh-CN"/>
        </w:rPr>
      </w:pPr>
      <w:bookmarkStart w:id="204" w:name="_Toc16060"/>
      <w:bookmarkStart w:id="205" w:name="_Toc13329"/>
      <w:bookmarkStart w:id="206" w:name="_Toc10390"/>
      <w:r>
        <w:rPr>
          <w:rFonts w:hint="eastAsia"/>
          <w:lang w:val="en-US" w:eastAsia="zh-CN"/>
        </w:rPr>
        <w:t>现有林补植改造</w:t>
      </w:r>
      <w:bookmarkEnd w:id="204"/>
      <w:bookmarkEnd w:id="205"/>
      <w:bookmarkEnd w:id="206"/>
    </w:p>
    <w:p>
      <w:pPr>
        <w:pStyle w:val="305"/>
        <w:numPr>
          <w:ilvl w:val="0"/>
          <w:numId w:val="36"/>
        </w:numPr>
      </w:pPr>
      <w:r>
        <w:rPr>
          <w:rFonts w:hint="eastAsia"/>
        </w:rPr>
        <w:t>采取人力与自然力相结合的全周期培育技术措施，通过保留和利用现有天然更新的幼苗幼树，提高森林自然度（结合5.4.2节、附录</w:t>
      </w:r>
      <w:r>
        <w:rPr>
          <w:rFonts w:hint="eastAsia"/>
          <w:lang w:val="en-US" w:eastAsia="zh-CN"/>
        </w:rPr>
        <w:t>C</w:t>
      </w:r>
      <w:r>
        <w:rPr>
          <w:rFonts w:hint="eastAsia"/>
        </w:rPr>
        <w:t>）</w:t>
      </w:r>
      <w:r>
        <w:rPr>
          <w:rFonts w:hint="eastAsia"/>
          <w:lang w:eastAsia="zh-CN"/>
        </w:rPr>
        <w:t>，</w:t>
      </w:r>
      <w:r>
        <w:rPr>
          <w:rFonts w:hint="eastAsia"/>
          <w:lang w:val="en-US" w:eastAsia="zh-CN"/>
        </w:rPr>
        <w:t>发展持续覆盖的林业</w:t>
      </w:r>
      <w:r>
        <w:rPr>
          <w:rFonts w:hint="eastAsia"/>
          <w:lang w:eastAsia="zh-CN"/>
        </w:rPr>
        <w:t>。</w:t>
      </w:r>
    </w:p>
    <w:p>
      <w:pPr>
        <w:pStyle w:val="305"/>
        <w:numPr>
          <w:ilvl w:val="0"/>
          <w:numId w:val="36"/>
        </w:numPr>
      </w:pPr>
      <w:bookmarkStart w:id="207" w:name="_Hlk139470014"/>
      <w:r>
        <w:t>分类定向培育长周期珍贵树种、中长周期一般树种、短周期工业原料林和大径级毛竹林，将短周期</w:t>
      </w:r>
      <w:r>
        <w:rPr>
          <w:rFonts w:hint="eastAsia"/>
        </w:rPr>
        <w:t>用材林</w:t>
      </w:r>
      <w:r>
        <w:t>转化为长周期用材林，</w:t>
      </w:r>
      <w:r>
        <w:rPr>
          <w:rFonts w:hint="eastAsia"/>
        </w:rPr>
        <w:t>满足不同经营目标的需要，森林培育类型表见附录</w:t>
      </w:r>
      <w:r>
        <w:rPr>
          <w:rFonts w:hint="eastAsia"/>
          <w:lang w:val="en-US" w:eastAsia="zh-CN"/>
        </w:rPr>
        <w:t>C</w:t>
      </w:r>
      <w:r>
        <w:rPr>
          <w:rFonts w:hint="eastAsia"/>
        </w:rPr>
        <w:t>。</w:t>
      </w:r>
    </w:p>
    <w:p>
      <w:pPr>
        <w:pStyle w:val="305"/>
        <w:numPr>
          <w:ilvl w:val="0"/>
          <w:numId w:val="36"/>
        </w:numPr>
      </w:pPr>
      <w:r>
        <w:rPr>
          <w:rFonts w:hint="eastAsia"/>
        </w:rPr>
        <w:t>根据立地条件、树种特性和培育目标，采用新造林、更新造林、冠下造林、人工辅助天然更新等方式，营造包括不同树种、龄级、径级、林层、密度结构的用材林分，提高景观多样性，避免同质化经营造成生态系统脆弱。</w:t>
      </w:r>
    </w:p>
    <w:p>
      <w:pPr>
        <w:pStyle w:val="305"/>
        <w:numPr>
          <w:ilvl w:val="0"/>
          <w:numId w:val="36"/>
        </w:numPr>
        <w:rPr>
          <w:rFonts w:hint="eastAsia"/>
        </w:rPr>
      </w:pPr>
      <w:r>
        <w:rPr>
          <w:rFonts w:hint="eastAsia"/>
        </w:rPr>
        <w:t>对符合低效退化林分条件的人工林，通过封育、补植、卫生伐、施肥等开展生态改造和景观恢复，保护立地生态系统和生物多样性。参考GB/T 15781、LY/T 2651。</w:t>
      </w:r>
    </w:p>
    <w:bookmarkEnd w:id="207"/>
    <w:p>
      <w:pPr>
        <w:pStyle w:val="260"/>
        <w:outlineLvl w:val="1"/>
      </w:pPr>
      <w:bookmarkStart w:id="208" w:name="_Toc17558"/>
      <w:bookmarkStart w:id="209" w:name="_Toc6086"/>
      <w:bookmarkStart w:id="210" w:name="_Toc27746"/>
      <w:bookmarkStart w:id="211" w:name="_Toc139993798"/>
      <w:bookmarkStart w:id="212" w:name="_Toc21375"/>
      <w:bookmarkStart w:id="213" w:name="_Toc3671"/>
      <w:bookmarkStart w:id="214" w:name="_Toc28400"/>
      <w:bookmarkStart w:id="215" w:name="_Toc13340"/>
      <w:bookmarkStart w:id="216" w:name="_Toc29244"/>
      <w:bookmarkStart w:id="217" w:name="_Toc139660628"/>
      <w:r>
        <w:rPr>
          <w:rFonts w:hint="eastAsia"/>
        </w:rPr>
        <w:t>抚育阶段</w:t>
      </w:r>
      <w:bookmarkEnd w:id="208"/>
      <w:bookmarkEnd w:id="209"/>
      <w:bookmarkEnd w:id="210"/>
      <w:bookmarkEnd w:id="211"/>
      <w:bookmarkEnd w:id="212"/>
      <w:bookmarkEnd w:id="213"/>
      <w:bookmarkEnd w:id="214"/>
      <w:bookmarkEnd w:id="215"/>
      <w:bookmarkEnd w:id="216"/>
      <w:bookmarkEnd w:id="217"/>
    </w:p>
    <w:p>
      <w:pPr>
        <w:pStyle w:val="261"/>
        <w:spacing w:before="156" w:after="156"/>
        <w:outlineLvl w:val="2"/>
      </w:pPr>
      <w:bookmarkStart w:id="218" w:name="_Toc3127"/>
      <w:bookmarkStart w:id="219" w:name="_Toc31913"/>
      <w:bookmarkStart w:id="220" w:name="_Toc7316"/>
      <w:r>
        <w:rPr>
          <w:rFonts w:hint="eastAsia"/>
        </w:rPr>
        <w:t>中幼林抚育间伐</w:t>
      </w:r>
      <w:bookmarkEnd w:id="218"/>
      <w:bookmarkEnd w:id="219"/>
      <w:bookmarkEnd w:id="220"/>
    </w:p>
    <w:p>
      <w:pPr>
        <w:pStyle w:val="258"/>
        <w:ind w:firstLine="420"/>
      </w:pPr>
      <w:r>
        <w:rPr>
          <w:rFonts w:hint="eastAsia"/>
        </w:rPr>
        <w:t>及时对高密度、高郁闭度中幼龄林进行抚育间伐，</w:t>
      </w:r>
      <w:r>
        <w:rPr>
          <w:rFonts w:hint="eastAsia"/>
          <w:lang w:val="en-US" w:eastAsia="zh-CN"/>
        </w:rPr>
        <w:t>减少</w:t>
      </w:r>
      <w:r>
        <w:rPr>
          <w:rFonts w:hint="eastAsia"/>
        </w:rPr>
        <w:t>对野生动物的干扰。</w:t>
      </w:r>
    </w:p>
    <w:p>
      <w:pPr>
        <w:pStyle w:val="261"/>
        <w:spacing w:before="156" w:after="156"/>
        <w:outlineLvl w:val="2"/>
      </w:pPr>
      <w:bookmarkStart w:id="221" w:name="_Toc139993799"/>
      <w:bookmarkStart w:id="222" w:name="_Toc139660629"/>
      <w:bookmarkStart w:id="223" w:name="_Toc139405584"/>
      <w:bookmarkStart w:id="224" w:name="_Toc31072"/>
      <w:bookmarkStart w:id="225" w:name="_Toc3647"/>
      <w:bookmarkStart w:id="226" w:name="_Toc16152"/>
      <w:r>
        <w:rPr>
          <w:rFonts w:hint="eastAsia"/>
        </w:rPr>
        <w:t>林下植被</w:t>
      </w:r>
      <w:bookmarkEnd w:id="221"/>
      <w:bookmarkEnd w:id="222"/>
      <w:bookmarkEnd w:id="223"/>
      <w:r>
        <w:rPr>
          <w:rFonts w:hint="eastAsia"/>
          <w:lang w:val="en-US" w:eastAsia="zh-CN"/>
        </w:rPr>
        <w:t>保护</w:t>
      </w:r>
      <w:bookmarkEnd w:id="224"/>
      <w:bookmarkEnd w:id="225"/>
      <w:bookmarkEnd w:id="226"/>
    </w:p>
    <w:p>
      <w:pPr>
        <w:pStyle w:val="305"/>
        <w:numPr>
          <w:ilvl w:val="0"/>
          <w:numId w:val="37"/>
        </w:numPr>
      </w:pPr>
      <w:r>
        <w:rPr>
          <w:rFonts w:hint="eastAsia"/>
        </w:rPr>
        <w:t>除草</w:t>
      </w:r>
      <w:r>
        <w:t>主要在幼龄期和植株周边进行，</w:t>
      </w:r>
      <w:r>
        <w:rPr>
          <w:rFonts w:hint="eastAsia"/>
        </w:rPr>
        <w:t>适当保留沟谷、陡坡的原生植被，促进</w:t>
      </w:r>
      <w:r>
        <w:t>乔、灌、草植垂直结构</w:t>
      </w:r>
      <w:r>
        <w:rPr>
          <w:rFonts w:hint="eastAsia"/>
        </w:rPr>
        <w:t>，促进食物来源和庇护场所形成</w:t>
      </w:r>
      <w:r>
        <w:rPr>
          <w:rFonts w:hint="eastAsia"/>
          <w:lang w:eastAsia="zh-CN"/>
        </w:rPr>
        <w:t>。</w:t>
      </w:r>
    </w:p>
    <w:p>
      <w:pPr>
        <w:pStyle w:val="305"/>
        <w:numPr>
          <w:ilvl w:val="0"/>
          <w:numId w:val="37"/>
        </w:numPr>
      </w:pPr>
      <w:r>
        <w:rPr>
          <w:rFonts w:hint="eastAsia"/>
        </w:rPr>
        <w:t>针对经营区内珍稀濒危、高保护价值森林树种，视受威胁程度和立地条件，采取竞争木伐除或修枝、有害生物防控、生境改善、围栏封育等经营措施。</w:t>
      </w:r>
    </w:p>
    <w:p>
      <w:pPr>
        <w:pStyle w:val="261"/>
        <w:spacing w:before="156" w:after="156"/>
        <w:outlineLvl w:val="2"/>
      </w:pPr>
      <w:bookmarkStart w:id="227" w:name="_Toc139405585"/>
      <w:bookmarkStart w:id="228" w:name="_Toc139660630"/>
      <w:bookmarkStart w:id="229" w:name="_Toc139993800"/>
      <w:bookmarkStart w:id="230" w:name="_Toc4074"/>
      <w:bookmarkStart w:id="231" w:name="_Toc17351"/>
      <w:bookmarkStart w:id="232" w:name="_Toc30951"/>
      <w:bookmarkStart w:id="233" w:name="_Hlk138963519"/>
      <w:r>
        <w:rPr>
          <w:rFonts w:hint="eastAsia"/>
        </w:rPr>
        <w:t>物种栖息地</w:t>
      </w:r>
      <w:bookmarkEnd w:id="227"/>
      <w:bookmarkEnd w:id="228"/>
      <w:bookmarkEnd w:id="229"/>
      <w:r>
        <w:rPr>
          <w:rFonts w:hint="eastAsia"/>
        </w:rPr>
        <w:t>保护</w:t>
      </w:r>
      <w:bookmarkEnd w:id="230"/>
      <w:bookmarkEnd w:id="231"/>
      <w:bookmarkEnd w:id="232"/>
    </w:p>
    <w:bookmarkEnd w:id="233"/>
    <w:p>
      <w:pPr>
        <w:pStyle w:val="305"/>
        <w:numPr>
          <w:ilvl w:val="0"/>
          <w:numId w:val="38"/>
        </w:numPr>
      </w:pPr>
      <w:r>
        <w:rPr>
          <w:rFonts w:hint="eastAsia"/>
        </w:rPr>
        <w:t>对林分间伐时，保留</w:t>
      </w:r>
      <w:r>
        <w:rPr>
          <w:rFonts w:hint="eastAsia"/>
          <w:lang w:val="en-US" w:eastAsia="zh-CN"/>
        </w:rPr>
        <w:t>一定比例的</w:t>
      </w:r>
      <w:r>
        <w:rPr>
          <w:rFonts w:hint="eastAsia"/>
        </w:rPr>
        <w:t>枯立木、倒木、腐木和其他采伐剩余物，选择并保留特殊目标树，增加林地空间异质性。</w:t>
      </w:r>
    </w:p>
    <w:p>
      <w:pPr>
        <w:pStyle w:val="305"/>
        <w:numPr>
          <w:ilvl w:val="0"/>
          <w:numId w:val="38"/>
        </w:numPr>
      </w:pPr>
      <w:r>
        <w:rPr>
          <w:rFonts w:hint="eastAsia"/>
        </w:rPr>
        <w:t>保护参与森林植物授粉过程的鸟类、昆虫和促进种子运移的野生动物，保护害虫天敌、有益动物，减少农药使用，实施病虫害综合管理。</w:t>
      </w:r>
    </w:p>
    <w:p>
      <w:pPr>
        <w:pStyle w:val="305"/>
        <w:numPr>
          <w:ilvl w:val="0"/>
          <w:numId w:val="38"/>
        </w:numPr>
      </w:pPr>
      <w:r>
        <w:rPr>
          <w:rFonts w:hint="eastAsia"/>
        </w:rPr>
        <w:t>加强野生动物危害预测预警和适应性管理，促进人与野生动物和谐。</w:t>
      </w:r>
    </w:p>
    <w:p>
      <w:pPr>
        <w:pStyle w:val="305"/>
        <w:numPr>
          <w:ilvl w:val="0"/>
          <w:numId w:val="38"/>
        </w:numPr>
      </w:pPr>
      <w:r>
        <w:rPr>
          <w:rFonts w:hint="eastAsia"/>
        </w:rPr>
        <w:t>以微生物肥料、有机肥料代替化肥，减少农药等化学品的使用，促进食物链和森林生态系统健康。</w:t>
      </w:r>
    </w:p>
    <w:p>
      <w:pPr>
        <w:pStyle w:val="261"/>
        <w:spacing w:before="156" w:after="156"/>
        <w:outlineLvl w:val="2"/>
      </w:pPr>
      <w:bookmarkStart w:id="234" w:name="_Toc139405586"/>
      <w:bookmarkStart w:id="235" w:name="_Toc139660631"/>
      <w:bookmarkStart w:id="236" w:name="_Toc139993801"/>
      <w:bookmarkStart w:id="237" w:name="_Toc19606"/>
      <w:bookmarkStart w:id="238" w:name="_Toc22837"/>
      <w:bookmarkStart w:id="239" w:name="_Toc29498"/>
      <w:r>
        <w:rPr>
          <w:rFonts w:hint="eastAsia"/>
        </w:rPr>
        <w:t>森林灾害</w:t>
      </w:r>
      <w:bookmarkEnd w:id="234"/>
      <w:bookmarkEnd w:id="235"/>
      <w:bookmarkEnd w:id="236"/>
      <w:r>
        <w:rPr>
          <w:rFonts w:hint="eastAsia"/>
        </w:rPr>
        <w:t>防治</w:t>
      </w:r>
      <w:bookmarkEnd w:id="237"/>
      <w:bookmarkEnd w:id="238"/>
      <w:bookmarkEnd w:id="239"/>
    </w:p>
    <w:p>
      <w:pPr>
        <w:pStyle w:val="305"/>
        <w:numPr>
          <w:ilvl w:val="0"/>
          <w:numId w:val="39"/>
        </w:numPr>
      </w:pPr>
      <w:r>
        <w:rPr>
          <w:rFonts w:hint="eastAsia"/>
        </w:rPr>
        <w:t>预防森林病虫害、外来生物入侵</w:t>
      </w:r>
      <w:r>
        <w:rPr>
          <w:rFonts w:hint="eastAsia"/>
          <w:lang w:eastAsia="zh-CN"/>
        </w:rPr>
        <w:t>。</w:t>
      </w:r>
    </w:p>
    <w:p>
      <w:pPr>
        <w:pStyle w:val="305"/>
        <w:numPr>
          <w:ilvl w:val="0"/>
          <w:numId w:val="39"/>
        </w:numPr>
      </w:pPr>
      <w:r>
        <w:rPr>
          <w:rFonts w:hint="eastAsia"/>
          <w:lang w:val="en-US" w:eastAsia="zh-CN"/>
        </w:rPr>
        <w:t>预防</w:t>
      </w:r>
      <w:r>
        <w:rPr>
          <w:rFonts w:hint="eastAsia"/>
        </w:rPr>
        <w:t>泥石流、山体滑坡，保持立地水土的稳定性。</w:t>
      </w:r>
    </w:p>
    <w:p>
      <w:pPr>
        <w:pStyle w:val="305"/>
        <w:numPr>
          <w:ilvl w:val="0"/>
          <w:numId w:val="39"/>
        </w:numPr>
      </w:pPr>
      <w:r>
        <w:rPr>
          <w:rFonts w:hint="eastAsia"/>
        </w:rPr>
        <w:t>预防森林火灾，建设生物防火带。</w:t>
      </w:r>
    </w:p>
    <w:p>
      <w:pPr>
        <w:pStyle w:val="260"/>
        <w:outlineLvl w:val="1"/>
      </w:pPr>
      <w:bookmarkStart w:id="240" w:name="_Toc1727"/>
      <w:bookmarkStart w:id="241" w:name="_Toc139993802"/>
      <w:bookmarkStart w:id="242" w:name="_Toc29950"/>
      <w:bookmarkStart w:id="243" w:name="_Toc19388"/>
      <w:bookmarkStart w:id="244" w:name="_Toc139660633"/>
      <w:bookmarkStart w:id="245" w:name="_Toc11450"/>
      <w:bookmarkStart w:id="246" w:name="_Toc13802"/>
      <w:bookmarkStart w:id="247" w:name="_Toc3549"/>
      <w:bookmarkStart w:id="248" w:name="_Toc7287"/>
      <w:bookmarkStart w:id="249" w:name="_Toc517"/>
      <w:r>
        <w:rPr>
          <w:rFonts w:hint="eastAsia"/>
        </w:rPr>
        <w:t>采伐更新阶段</w:t>
      </w:r>
      <w:bookmarkEnd w:id="240"/>
      <w:bookmarkEnd w:id="241"/>
      <w:bookmarkEnd w:id="242"/>
      <w:bookmarkEnd w:id="243"/>
      <w:bookmarkEnd w:id="244"/>
      <w:bookmarkEnd w:id="245"/>
      <w:bookmarkEnd w:id="246"/>
      <w:bookmarkEnd w:id="247"/>
      <w:bookmarkEnd w:id="248"/>
      <w:bookmarkEnd w:id="249"/>
    </w:p>
    <w:p>
      <w:pPr>
        <w:pStyle w:val="261"/>
        <w:spacing w:before="156" w:after="156"/>
        <w:outlineLvl w:val="2"/>
      </w:pPr>
      <w:bookmarkStart w:id="250" w:name="_Toc139405589"/>
      <w:bookmarkStart w:id="251" w:name="_Toc139660634"/>
      <w:bookmarkStart w:id="252" w:name="_Toc139993803"/>
      <w:bookmarkStart w:id="253" w:name="_Toc10283"/>
      <w:bookmarkStart w:id="254" w:name="_Toc5426"/>
      <w:bookmarkStart w:id="255" w:name="_Toc29311"/>
      <w:bookmarkStart w:id="256" w:name="_Hlk138963897"/>
      <w:r>
        <w:rPr>
          <w:rFonts w:hint="eastAsia"/>
        </w:rPr>
        <w:t>低影响采伐良好实践</w:t>
      </w:r>
      <w:bookmarkEnd w:id="250"/>
      <w:bookmarkEnd w:id="251"/>
      <w:bookmarkEnd w:id="252"/>
      <w:bookmarkEnd w:id="253"/>
      <w:bookmarkEnd w:id="254"/>
      <w:bookmarkEnd w:id="255"/>
    </w:p>
    <w:bookmarkEnd w:id="256"/>
    <w:p>
      <w:pPr>
        <w:pStyle w:val="305"/>
        <w:numPr>
          <w:ilvl w:val="0"/>
          <w:numId w:val="40"/>
        </w:numPr>
      </w:pPr>
      <w:r>
        <w:rPr>
          <w:rFonts w:hint="eastAsia"/>
        </w:rPr>
        <w:t>按表</w:t>
      </w:r>
      <w:r>
        <w:rPr>
          <w:rFonts w:hint="eastAsia"/>
          <w:lang w:val="en-US" w:eastAsia="zh-CN"/>
        </w:rPr>
        <w:t>1</w:t>
      </w:r>
      <w:r>
        <w:rPr>
          <w:rFonts w:hint="eastAsia"/>
        </w:rPr>
        <w:t>规定的良好实践开展采伐活动，降减采伐对生物多样性造成的干扰和影响，维持生境的多样性。采伐</w:t>
      </w:r>
      <w:r>
        <w:rPr>
          <w:rFonts w:hint="eastAsia"/>
          <w:lang w:val="en-US" w:eastAsia="zh-CN"/>
        </w:rPr>
        <w:t>措施</w:t>
      </w:r>
      <w:r>
        <w:rPr>
          <w:rFonts w:hint="eastAsia"/>
        </w:rPr>
        <w:t>应符合</w:t>
      </w:r>
      <w:r>
        <w:t>LY/T 1646</w:t>
      </w:r>
      <w:r>
        <w:rPr>
          <w:rFonts w:hint="eastAsia"/>
        </w:rPr>
        <w:t>的相关规定。</w:t>
      </w:r>
    </w:p>
    <w:p>
      <w:pPr>
        <w:pStyle w:val="301"/>
        <w:ind w:left="0" w:leftChars="0" w:firstLineChars="0"/>
      </w:pPr>
      <w:r>
        <w:rPr>
          <w:rFonts w:hint="eastAsia"/>
        </w:rPr>
        <w:t>低影响采伐</w:t>
      </w:r>
      <w:r>
        <w:t>良好实践</w:t>
      </w:r>
    </w:p>
    <w:tbl>
      <w:tblPr>
        <w:tblStyle w:val="89"/>
        <w:tblW w:w="93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43"/>
        <w:gridCol w:w="84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3" w:hRule="atLeast"/>
          <w:tblHeader/>
          <w:jc w:val="center"/>
        </w:trPr>
        <w:tc>
          <w:tcPr>
            <w:tcW w:w="943" w:type="dxa"/>
            <w:tcBorders>
              <w:bottom w:val="single" w:color="auto" w:sz="8" w:space="0"/>
            </w:tcBorders>
            <w:vAlign w:val="center"/>
          </w:tcPr>
          <w:p>
            <w:pPr>
              <w:pStyle w:val="525"/>
              <w:jc w:val="center"/>
              <w:rPr>
                <w:b/>
              </w:rPr>
            </w:pPr>
          </w:p>
        </w:tc>
        <w:tc>
          <w:tcPr>
            <w:tcW w:w="8432" w:type="dxa"/>
            <w:tcBorders>
              <w:bottom w:val="single" w:color="auto" w:sz="8" w:space="0"/>
            </w:tcBorders>
          </w:tcPr>
          <w:p>
            <w:pPr>
              <w:pStyle w:val="525"/>
              <w:jc w:val="center"/>
              <w:rPr>
                <w:b/>
              </w:rPr>
            </w:pPr>
            <w:r>
              <w:rPr>
                <w:rFonts w:hint="eastAsia"/>
                <w:b/>
              </w:rPr>
              <w:t>具体实践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943" w:type="dxa"/>
            <w:tcBorders>
              <w:top w:val="single" w:color="auto" w:sz="8" w:space="0"/>
            </w:tcBorders>
          </w:tcPr>
          <w:p>
            <w:pPr>
              <w:jc w:val="center"/>
            </w:pPr>
            <w:r>
              <w:rPr>
                <w:rFonts w:hint="eastAsia"/>
              </w:rPr>
              <w:t>1</w:t>
            </w:r>
          </w:p>
        </w:tc>
        <w:tc>
          <w:tcPr>
            <w:tcW w:w="8432" w:type="dxa"/>
            <w:tcBorders>
              <w:top w:val="single" w:color="auto" w:sz="8" w:space="0"/>
            </w:tcBorders>
          </w:tcPr>
          <w:p>
            <w:r>
              <w:rPr>
                <w:rFonts w:hint="eastAsia"/>
              </w:rPr>
              <w:t>伐前调查并对采伐进行单木制图，尽量在老龄林附近镶嵌安排采伐地块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43" w:type="dxa"/>
          </w:tcPr>
          <w:p>
            <w:pPr>
              <w:jc w:val="center"/>
            </w:pPr>
            <w:r>
              <w:rPr>
                <w:rFonts w:hint="eastAsia"/>
              </w:rPr>
              <w:t>2</w:t>
            </w:r>
          </w:p>
        </w:tc>
        <w:tc>
          <w:tcPr>
            <w:tcW w:w="8432" w:type="dxa"/>
          </w:tcPr>
          <w:p>
            <w:r>
              <w:rPr>
                <w:rFonts w:hint="eastAsia"/>
              </w:rPr>
              <w:t>避免使用重型、高噪音的机械，减少采运、集材设施对土壤、动植物栖息地造成的干扰破坏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43" w:type="dxa"/>
          </w:tcPr>
          <w:p>
            <w:pPr>
              <w:jc w:val="center"/>
            </w:pPr>
            <w:r>
              <w:rPr>
                <w:rFonts w:hint="eastAsia"/>
              </w:rPr>
              <w:t>3</w:t>
            </w:r>
          </w:p>
        </w:tc>
        <w:tc>
          <w:tcPr>
            <w:tcW w:w="8432" w:type="dxa"/>
          </w:tcPr>
          <w:p>
            <w:r>
              <w:t>尽可能沿山脊线建设集材道，减少集材道、楞场的数量和占地面积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43" w:type="dxa"/>
          </w:tcPr>
          <w:p>
            <w:pPr>
              <w:jc w:val="center"/>
            </w:pPr>
            <w:r>
              <w:t>4</w:t>
            </w:r>
          </w:p>
        </w:tc>
        <w:tc>
          <w:tcPr>
            <w:tcW w:w="8432" w:type="dxa"/>
          </w:tcPr>
          <w:p>
            <w:r>
              <w:t>沿河溪建立缓冲区，避免雨天集材作业，减少采伐对水体、水岸生境的影响</w:t>
            </w:r>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43" w:type="dxa"/>
          </w:tcPr>
          <w:p>
            <w:pPr>
              <w:jc w:val="center"/>
            </w:pPr>
            <w:r>
              <w:rPr>
                <w:rFonts w:hint="eastAsia"/>
              </w:rPr>
              <w:t>5</w:t>
            </w:r>
          </w:p>
        </w:tc>
        <w:tc>
          <w:tcPr>
            <w:tcW w:w="8432" w:type="dxa"/>
          </w:tcPr>
          <w:p>
            <w:pPr>
              <w:rPr>
                <w:rFonts w:hint="default" w:eastAsia="宋体"/>
                <w:lang w:val="en-US" w:eastAsia="zh-CN"/>
              </w:rPr>
            </w:pPr>
            <w:r>
              <w:rPr>
                <w:rFonts w:hint="eastAsia"/>
              </w:rPr>
              <w:t>适当延长采伐间隔期，增加碳存储，生产大径材，提高</w:t>
            </w:r>
            <w:r>
              <w:rPr>
                <w:rFonts w:hint="eastAsia"/>
                <w:lang w:val="en-US" w:eastAsia="zh-CN"/>
              </w:rPr>
              <w:t>老龄木的占比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43" w:type="dxa"/>
          </w:tcPr>
          <w:p>
            <w:pPr>
              <w:jc w:val="center"/>
            </w:pPr>
            <w:r>
              <w:rPr>
                <w:rFonts w:hint="eastAsia"/>
              </w:rPr>
              <w:t>6</w:t>
            </w:r>
          </w:p>
        </w:tc>
        <w:tc>
          <w:tcPr>
            <w:tcW w:w="8432" w:type="dxa"/>
          </w:tcPr>
          <w:p>
            <w:r>
              <w:rPr>
                <w:rFonts w:hint="eastAsia"/>
              </w:rPr>
              <w:t>控制树木</w:t>
            </w:r>
            <w:r>
              <w:rPr>
                <w:rFonts w:hint="eastAsia"/>
                <w:lang w:val="en-US" w:eastAsia="zh-CN"/>
              </w:rPr>
              <w:t>倒</w:t>
            </w:r>
            <w:r>
              <w:rPr>
                <w:rFonts w:hint="eastAsia"/>
              </w:rPr>
              <w:t>向，伐前清理藤本、攀援植物和搭挂树，以管道集材代替地面拖拽集材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43" w:type="dxa"/>
          </w:tcPr>
          <w:p>
            <w:pPr>
              <w:jc w:val="center"/>
            </w:pPr>
            <w:r>
              <w:rPr>
                <w:rFonts w:hint="eastAsia"/>
              </w:rPr>
              <w:t>7</w:t>
            </w:r>
          </w:p>
        </w:tc>
        <w:tc>
          <w:tcPr>
            <w:tcW w:w="8432" w:type="dxa"/>
          </w:tcPr>
          <w:p>
            <w:r>
              <w:rPr>
                <w:rFonts w:hint="eastAsia"/>
              </w:rPr>
              <w:t>控制采伐强度和皆伐面积，以择伐、渐伐代替皆伐主伐，保持立地持续覆盖</w:t>
            </w:r>
            <w: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43" w:type="dxa"/>
          </w:tcPr>
          <w:p>
            <w:pPr>
              <w:jc w:val="center"/>
            </w:pPr>
            <w:r>
              <w:rPr>
                <w:rFonts w:hint="eastAsia"/>
              </w:rPr>
              <w:t>8</w:t>
            </w:r>
          </w:p>
        </w:tc>
        <w:tc>
          <w:tcPr>
            <w:tcW w:w="8432" w:type="dxa"/>
          </w:tcPr>
          <w:p>
            <w:r>
              <w:rPr>
                <w:rFonts w:hint="eastAsia"/>
              </w:rPr>
              <w:t>采伐后清理采伐迹地，并及时更新造林</w:t>
            </w:r>
          </w:p>
        </w:tc>
      </w:tr>
    </w:tbl>
    <w:p>
      <w:pPr>
        <w:pStyle w:val="305"/>
        <w:numPr>
          <w:ilvl w:val="0"/>
          <w:numId w:val="0"/>
        </w:numPr>
      </w:pPr>
    </w:p>
    <w:p>
      <w:pPr>
        <w:pStyle w:val="305"/>
        <w:numPr>
          <w:ilvl w:val="0"/>
          <w:numId w:val="40"/>
        </w:numPr>
      </w:pPr>
      <w:r>
        <w:rPr>
          <w:rFonts w:hint="eastAsia"/>
          <w:lang w:val="en-US" w:eastAsia="zh-CN"/>
        </w:rPr>
        <w:t>提倡</w:t>
      </w:r>
      <w:r>
        <w:rPr>
          <w:rFonts w:hint="eastAsia"/>
        </w:rPr>
        <w:t>持续覆盖的林业，以带状、片状小面积皆伐和择伐代替大面积皆伐。</w:t>
      </w:r>
    </w:p>
    <w:p>
      <w:pPr>
        <w:pStyle w:val="305"/>
        <w:numPr>
          <w:ilvl w:val="0"/>
          <w:numId w:val="40"/>
        </w:numPr>
      </w:pPr>
      <w:r>
        <w:rPr>
          <w:rFonts w:hint="eastAsia"/>
        </w:rPr>
        <w:t xml:space="preserve">提倡延长林分轮伐期，在培育高价值大径材的同时减少人为干扰带来的不良后果。 </w:t>
      </w:r>
    </w:p>
    <w:p>
      <w:pPr>
        <w:pStyle w:val="305"/>
        <w:numPr>
          <w:ilvl w:val="0"/>
          <w:numId w:val="40"/>
        </w:numPr>
      </w:pPr>
      <w:r>
        <w:rPr>
          <w:rFonts w:hint="eastAsia"/>
        </w:rPr>
        <w:t>提倡通过人工更新和天然更新结合，及时完成伐后更新。</w:t>
      </w:r>
    </w:p>
    <w:p>
      <w:pPr>
        <w:pStyle w:val="261"/>
        <w:spacing w:before="156" w:after="156"/>
        <w:outlineLvl w:val="2"/>
      </w:pPr>
      <w:bookmarkStart w:id="257" w:name="_Toc139405590"/>
      <w:bookmarkStart w:id="258" w:name="_Toc139660635"/>
      <w:bookmarkStart w:id="259" w:name="_Toc1938"/>
      <w:bookmarkStart w:id="260" w:name="_Toc905"/>
      <w:bookmarkStart w:id="261" w:name="_Toc13022"/>
      <w:bookmarkStart w:id="262" w:name="_Toc139993804"/>
      <w:r>
        <w:rPr>
          <w:rFonts w:hint="eastAsia"/>
        </w:rPr>
        <w:t>人工促进天然更新</w:t>
      </w:r>
      <w:bookmarkEnd w:id="257"/>
      <w:bookmarkEnd w:id="258"/>
      <w:bookmarkEnd w:id="259"/>
      <w:bookmarkEnd w:id="260"/>
      <w:bookmarkEnd w:id="261"/>
      <w:bookmarkEnd w:id="262"/>
    </w:p>
    <w:p>
      <w:pPr>
        <w:pStyle w:val="305"/>
        <w:numPr>
          <w:ilvl w:val="0"/>
          <w:numId w:val="41"/>
        </w:numPr>
      </w:pPr>
      <w:r>
        <w:rPr>
          <w:rFonts w:hint="eastAsia"/>
        </w:rPr>
        <w:t>采取人工播种、补植、封育保护等人工辅助措施，促进乡土树种的天然更新。</w:t>
      </w:r>
    </w:p>
    <w:p>
      <w:pPr>
        <w:pStyle w:val="305"/>
        <w:numPr>
          <w:ilvl w:val="0"/>
          <w:numId w:val="41"/>
        </w:numPr>
      </w:pPr>
      <w:r>
        <w:rPr>
          <w:rFonts w:hint="eastAsia"/>
        </w:rPr>
        <w:t>采取整地松土、割灌除草、浇水施肥等措施</w:t>
      </w:r>
      <w:r>
        <w:rPr>
          <w:lang w:bidi="ar"/>
        </w:rPr>
        <w:t>，创造</w:t>
      </w:r>
      <w:r>
        <w:rPr>
          <w:rFonts w:hint="eastAsia"/>
          <w:lang w:bidi="ar"/>
        </w:rPr>
        <w:t>目的树种</w:t>
      </w:r>
      <w:r>
        <w:rPr>
          <w:lang w:bidi="ar"/>
        </w:rPr>
        <w:t>种子萌发和幼树生长的有利条件</w:t>
      </w:r>
      <w:r>
        <w:rPr>
          <w:rFonts w:hint="eastAsia"/>
        </w:rPr>
        <w:t>。</w:t>
      </w:r>
    </w:p>
    <w:p>
      <w:pPr>
        <w:pStyle w:val="259"/>
        <w:outlineLvl w:val="0"/>
      </w:pPr>
      <w:bookmarkStart w:id="263" w:name="_Toc139993805"/>
      <w:bookmarkStart w:id="264" w:name="_Toc23868"/>
      <w:bookmarkStart w:id="265" w:name="_Toc148087856"/>
      <w:bookmarkStart w:id="266" w:name="_Toc32755"/>
      <w:bookmarkStart w:id="267" w:name="_Toc5913"/>
      <w:bookmarkStart w:id="268" w:name="_Toc13195"/>
      <w:bookmarkStart w:id="269" w:name="_Toc32434"/>
      <w:bookmarkStart w:id="270" w:name="_Toc23991"/>
      <w:bookmarkStart w:id="271" w:name="_Toc27100"/>
      <w:bookmarkStart w:id="272" w:name="_Toc3375"/>
      <w:bookmarkStart w:id="273" w:name="_Toc29655"/>
      <w:bookmarkStart w:id="274" w:name="_Toc19788"/>
      <w:bookmarkStart w:id="275" w:name="_Toc24333"/>
      <w:bookmarkStart w:id="276" w:name="_Toc27085"/>
      <w:bookmarkStart w:id="277" w:name="_Toc16443"/>
      <w:r>
        <w:rPr>
          <w:rFonts w:hint="eastAsia"/>
        </w:rPr>
        <w:t>生物多样性的可持续利用</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hint="eastAsia"/>
        </w:rPr>
        <w:t xml:space="preserve"> </w:t>
      </w:r>
      <w:r>
        <w:t xml:space="preserve"> </w:t>
      </w:r>
    </w:p>
    <w:p>
      <w:pPr>
        <w:pStyle w:val="260"/>
        <w:bidi w:val="0"/>
      </w:pPr>
      <w:bookmarkStart w:id="278" w:name="_Toc139993807"/>
      <w:bookmarkStart w:id="279" w:name="_Toc139660637"/>
      <w:bookmarkStart w:id="280" w:name="_Toc11512"/>
      <w:bookmarkStart w:id="281" w:name="_Toc27479"/>
      <w:bookmarkStart w:id="282" w:name="_Toc30208"/>
      <w:r>
        <w:rPr>
          <w:rFonts w:hint="eastAsia"/>
        </w:rPr>
        <w:t>珍</w:t>
      </w:r>
      <w:r>
        <w:rPr>
          <w:rFonts w:hint="eastAsia"/>
          <w:lang w:val="en-US" w:eastAsia="zh-CN"/>
        </w:rPr>
        <w:t>稀林木</w:t>
      </w:r>
      <w:bookmarkEnd w:id="278"/>
      <w:bookmarkEnd w:id="279"/>
      <w:r>
        <w:rPr>
          <w:rFonts w:hint="eastAsia"/>
        </w:rPr>
        <w:t>培育</w:t>
      </w:r>
      <w:bookmarkEnd w:id="280"/>
      <w:bookmarkEnd w:id="281"/>
      <w:bookmarkEnd w:id="282"/>
    </w:p>
    <w:p>
      <w:pPr>
        <w:pStyle w:val="258"/>
        <w:ind w:firstLine="420"/>
      </w:pPr>
      <w:r>
        <w:rPr>
          <w:rFonts w:hint="eastAsia"/>
        </w:rPr>
        <w:t>结合当地需求实际，根据相关技术规程和国家珍贵树种目录，开展珍贵树种用材林种植或苗木培育，满足优质工艺品、高档家具、乐器、香料等市场需求。</w:t>
      </w:r>
    </w:p>
    <w:p>
      <w:pPr>
        <w:pStyle w:val="260"/>
        <w:bidi w:val="0"/>
        <w:rPr>
          <w:rFonts w:hint="eastAsia"/>
        </w:rPr>
      </w:pPr>
      <w:bookmarkStart w:id="283" w:name="_Toc139660638"/>
      <w:bookmarkStart w:id="284" w:name="_Toc7102"/>
      <w:bookmarkStart w:id="285" w:name="_Toc22760"/>
      <w:bookmarkStart w:id="286" w:name="_Toc22459"/>
      <w:bookmarkStart w:id="287" w:name="_Toc139993808"/>
      <w:r>
        <w:rPr>
          <w:rFonts w:hint="eastAsia"/>
        </w:rPr>
        <w:t>林下经济活动</w:t>
      </w:r>
      <w:bookmarkEnd w:id="283"/>
      <w:bookmarkEnd w:id="284"/>
      <w:bookmarkEnd w:id="285"/>
      <w:bookmarkEnd w:id="286"/>
      <w:bookmarkEnd w:id="287"/>
    </w:p>
    <w:p>
      <w:pPr>
        <w:pStyle w:val="258"/>
        <w:ind w:firstLine="420"/>
      </w:pPr>
      <w:r>
        <w:rPr>
          <w:rFonts w:hint="eastAsia"/>
        </w:rPr>
        <w:t>利用森林景观、林分生长空间和和森林生物多样性资源，开展间作、混种、轮作、立体栽培</w:t>
      </w:r>
      <w:r>
        <w:t>、</w:t>
      </w:r>
      <w:r>
        <w:rPr>
          <w:rFonts w:hint="eastAsia"/>
        </w:rPr>
        <w:t>复合经营，生产销售粮、油、菜、苗、禽、畜、草、药、花、果、菌产品。</w:t>
      </w:r>
    </w:p>
    <w:p>
      <w:pPr>
        <w:pStyle w:val="260"/>
        <w:bidi w:val="0"/>
        <w:rPr>
          <w:rFonts w:hint="eastAsia"/>
        </w:rPr>
      </w:pPr>
      <w:bookmarkStart w:id="288" w:name="_Toc139660639"/>
      <w:bookmarkStart w:id="289" w:name="_Toc15638"/>
      <w:bookmarkStart w:id="290" w:name="_Toc139993809"/>
      <w:bookmarkStart w:id="291" w:name="_Toc24346"/>
      <w:bookmarkStart w:id="292" w:name="_Toc5444"/>
      <w:bookmarkStart w:id="293" w:name="_Hlk138964704"/>
      <w:r>
        <w:rPr>
          <w:rFonts w:hint="eastAsia"/>
        </w:rPr>
        <w:t>生态服务价值转化</w:t>
      </w:r>
      <w:bookmarkEnd w:id="288"/>
      <w:bookmarkEnd w:id="289"/>
      <w:bookmarkEnd w:id="290"/>
      <w:bookmarkEnd w:id="291"/>
      <w:bookmarkEnd w:id="292"/>
    </w:p>
    <w:p>
      <w:pPr>
        <w:pStyle w:val="305"/>
        <w:numPr>
          <w:ilvl w:val="0"/>
          <w:numId w:val="42"/>
        </w:numPr>
      </w:pPr>
      <w:r>
        <w:t>探索</w:t>
      </w:r>
      <w:r>
        <w:rPr>
          <w:rFonts w:hint="eastAsia"/>
        </w:rPr>
        <w:t>树木林地</w:t>
      </w:r>
      <w:r>
        <w:t>认养、认领、期权化交易</w:t>
      </w:r>
      <w:r>
        <w:rPr>
          <w:rFonts w:hint="eastAsia"/>
        </w:rPr>
        <w:t>、品牌化、企业冠名</w:t>
      </w:r>
      <w:r>
        <w:t>等</w:t>
      </w:r>
      <w:r>
        <w:rPr>
          <w:rFonts w:hint="eastAsia"/>
        </w:rPr>
        <w:t>商业模式，将森林生物多样性价值、生态产品价值转化为现金收益。</w:t>
      </w:r>
      <w:r>
        <w:t xml:space="preserve"> </w:t>
      </w:r>
    </w:p>
    <w:p>
      <w:pPr>
        <w:pStyle w:val="305"/>
        <w:numPr>
          <w:ilvl w:val="0"/>
          <w:numId w:val="42"/>
        </w:numPr>
      </w:pPr>
      <w:r>
        <w:rPr>
          <w:rFonts w:hint="eastAsia"/>
        </w:rPr>
        <w:t>与碳汇造林、森林经营增汇活动相结合，将用材林生物多样性的保护转化为碳汇收益。</w:t>
      </w:r>
    </w:p>
    <w:p>
      <w:pPr>
        <w:pStyle w:val="305"/>
        <w:numPr>
          <w:ilvl w:val="0"/>
          <w:numId w:val="42"/>
        </w:numPr>
      </w:pPr>
      <w:r>
        <w:rPr>
          <w:rFonts w:hint="eastAsia"/>
        </w:rPr>
        <w:t>开展生态疗养、森林旅游、农家乐、森林体验等，通过森林生态效益、非木质林产品消费活动增加收入。</w:t>
      </w:r>
    </w:p>
    <w:p>
      <w:pPr>
        <w:pStyle w:val="260"/>
        <w:bidi w:val="0"/>
        <w:rPr>
          <w:rFonts w:hint="eastAsia"/>
        </w:rPr>
      </w:pPr>
      <w:bookmarkStart w:id="294" w:name="_Toc139660640"/>
      <w:bookmarkStart w:id="295" w:name="_Toc24967"/>
      <w:bookmarkStart w:id="296" w:name="_Toc20340"/>
      <w:bookmarkStart w:id="297" w:name="_Toc29747"/>
      <w:bookmarkStart w:id="298" w:name="_Toc139993810"/>
      <w:r>
        <w:rPr>
          <w:rFonts w:hint="eastAsia"/>
        </w:rPr>
        <w:t>森林认证</w:t>
      </w:r>
      <w:bookmarkEnd w:id="294"/>
      <w:bookmarkEnd w:id="295"/>
      <w:bookmarkEnd w:id="296"/>
      <w:bookmarkEnd w:id="297"/>
      <w:bookmarkEnd w:id="298"/>
    </w:p>
    <w:p>
      <w:pPr>
        <w:pStyle w:val="305"/>
        <w:numPr>
          <w:ilvl w:val="0"/>
          <w:numId w:val="43"/>
        </w:numPr>
      </w:pPr>
      <w:r>
        <w:rPr>
          <w:rFonts w:hint="eastAsia"/>
        </w:rPr>
        <w:t>开展木材产业链认证和森林经营认证，提高经济利用的可持续性</w:t>
      </w:r>
      <w:r>
        <w:rPr>
          <w:rFonts w:hint="eastAsia"/>
          <w:lang w:eastAsia="zh-CN"/>
        </w:rPr>
        <w:t>。</w:t>
      </w:r>
    </w:p>
    <w:p>
      <w:pPr>
        <w:pStyle w:val="305"/>
        <w:numPr>
          <w:ilvl w:val="0"/>
          <w:numId w:val="43"/>
        </w:numPr>
      </w:pPr>
      <w:r>
        <w:rPr>
          <w:rFonts w:hint="eastAsia"/>
        </w:rPr>
        <w:t>开展生物多样性等非木质林产品效益认证，提高人工用材林的综合效益。</w:t>
      </w:r>
    </w:p>
    <w:p>
      <w:pPr>
        <w:pStyle w:val="305"/>
        <w:numPr>
          <w:ilvl w:val="0"/>
          <w:numId w:val="43"/>
        </w:numPr>
      </w:pPr>
      <w:r>
        <w:rPr>
          <w:rFonts w:hint="eastAsia"/>
        </w:rPr>
        <w:t>开展野生动物饲养管理认证，提高林业养殖的综合效益。</w:t>
      </w:r>
    </w:p>
    <w:bookmarkEnd w:id="293"/>
    <w:p>
      <w:pPr>
        <w:pStyle w:val="259"/>
        <w:outlineLvl w:val="0"/>
      </w:pPr>
      <w:bookmarkStart w:id="299" w:name="_Toc14679"/>
      <w:bookmarkStart w:id="300" w:name="_Toc23098"/>
      <w:bookmarkStart w:id="301" w:name="_Toc148087857"/>
      <w:bookmarkStart w:id="302" w:name="_Toc15841"/>
      <w:bookmarkStart w:id="303" w:name="_Toc80543255"/>
      <w:bookmarkStart w:id="304" w:name="_Toc20404"/>
      <w:bookmarkStart w:id="305" w:name="_Toc15205"/>
      <w:bookmarkStart w:id="306" w:name="_Toc139993815"/>
      <w:bookmarkStart w:id="307" w:name="_Toc5468"/>
      <w:bookmarkStart w:id="308" w:name="_Toc29134"/>
      <w:bookmarkStart w:id="309" w:name="_Toc2192"/>
      <w:bookmarkStart w:id="310" w:name="_Toc25516"/>
      <w:bookmarkStart w:id="311" w:name="_Toc21173"/>
      <w:bookmarkStart w:id="312" w:name="_Toc14369"/>
      <w:bookmarkStart w:id="313" w:name="_Toc18941"/>
      <w:bookmarkStart w:id="314" w:name="_Toc8487"/>
      <w:r>
        <w:rPr>
          <w:rFonts w:hint="eastAsia"/>
        </w:rPr>
        <w:t>公共管理</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260"/>
        <w:outlineLvl w:val="1"/>
      </w:pPr>
      <w:bookmarkStart w:id="315" w:name="_Toc139660643"/>
      <w:bookmarkStart w:id="316" w:name="_Toc21752"/>
      <w:bookmarkStart w:id="317" w:name="_Toc26230"/>
      <w:bookmarkStart w:id="318" w:name="_Toc32706"/>
      <w:bookmarkStart w:id="319" w:name="_Toc25561"/>
      <w:bookmarkStart w:id="320" w:name="_Toc139993816"/>
      <w:bookmarkStart w:id="321" w:name="_Toc15876"/>
      <w:bookmarkStart w:id="322" w:name="_Toc21411"/>
      <w:bookmarkStart w:id="323" w:name="_Toc26867"/>
      <w:bookmarkStart w:id="324" w:name="_Toc25215"/>
      <w:bookmarkStart w:id="325" w:name="_Hlk138964938"/>
      <w:bookmarkStart w:id="326" w:name="_Toc66535933"/>
      <w:bookmarkStart w:id="327" w:name="_Toc65531274"/>
      <w:r>
        <w:rPr>
          <w:rFonts w:hint="eastAsia"/>
        </w:rPr>
        <w:t>法制建设</w:t>
      </w:r>
      <w:bookmarkEnd w:id="315"/>
      <w:bookmarkEnd w:id="316"/>
      <w:bookmarkEnd w:id="317"/>
      <w:bookmarkEnd w:id="318"/>
      <w:bookmarkEnd w:id="319"/>
      <w:bookmarkEnd w:id="320"/>
      <w:bookmarkEnd w:id="321"/>
      <w:bookmarkEnd w:id="322"/>
      <w:bookmarkEnd w:id="323"/>
      <w:bookmarkEnd w:id="324"/>
    </w:p>
    <w:bookmarkEnd w:id="325"/>
    <w:p>
      <w:pPr>
        <w:pStyle w:val="305"/>
        <w:numPr>
          <w:ilvl w:val="0"/>
          <w:numId w:val="44"/>
        </w:numPr>
      </w:pPr>
      <w:r>
        <w:t>加强</w:t>
      </w:r>
      <w:r>
        <w:rPr>
          <w:rFonts w:hint="eastAsia"/>
        </w:rPr>
        <w:t>规章</w:t>
      </w:r>
      <w:r>
        <w:t>制度建设，</w:t>
      </w:r>
      <w:r>
        <w:rPr>
          <w:rFonts w:hint="eastAsia"/>
        </w:rPr>
        <w:t>制定和规范</w:t>
      </w:r>
      <w:r>
        <w:t>种</w:t>
      </w:r>
      <w:r>
        <w:rPr>
          <w:rFonts w:hint="eastAsia"/>
        </w:rPr>
        <w:t>苗</w:t>
      </w:r>
      <w:r>
        <w:t>生产经营、采伐、重点保护物种、</w:t>
      </w:r>
      <w:r>
        <w:rPr>
          <w:rFonts w:hint="eastAsia"/>
        </w:rPr>
        <w:t>林地用途转化、林产品检疫、森林资源巡护、林产品采集、狩猎、采伐许可、木材市场的行政许可和监管制度，把森林生物多样性保护纳入法制化轨道。</w:t>
      </w:r>
    </w:p>
    <w:p>
      <w:pPr>
        <w:pStyle w:val="305"/>
        <w:numPr>
          <w:ilvl w:val="0"/>
          <w:numId w:val="44"/>
        </w:numPr>
      </w:pPr>
      <w:r>
        <w:rPr>
          <w:rFonts w:hint="eastAsia"/>
        </w:rPr>
        <w:t>加强与人工林生物多样性相关的行政执法，对毁林、非法猎捕、非法采挖、贩卖森林指导保护野生动植物及其制品等行为依法严厉查处。</w:t>
      </w:r>
    </w:p>
    <w:p>
      <w:pPr>
        <w:pStyle w:val="260"/>
        <w:outlineLvl w:val="1"/>
      </w:pPr>
      <w:bookmarkStart w:id="328" w:name="_Toc139660644"/>
      <w:bookmarkStart w:id="329" w:name="_Toc14090"/>
      <w:bookmarkStart w:id="330" w:name="_Toc32576"/>
      <w:bookmarkStart w:id="331" w:name="_Toc18945"/>
      <w:bookmarkStart w:id="332" w:name="_Toc139993817"/>
      <w:bookmarkStart w:id="333" w:name="_Toc30429"/>
      <w:bookmarkStart w:id="334" w:name="_Toc20296"/>
      <w:bookmarkStart w:id="335" w:name="_Toc23347"/>
      <w:bookmarkStart w:id="336" w:name="_Toc26719"/>
      <w:bookmarkStart w:id="337" w:name="_Toc23605"/>
      <w:r>
        <w:rPr>
          <w:rFonts w:hint="eastAsia"/>
        </w:rPr>
        <w:t>宣传培训</w:t>
      </w:r>
      <w:bookmarkEnd w:id="328"/>
      <w:bookmarkEnd w:id="329"/>
      <w:bookmarkEnd w:id="330"/>
      <w:bookmarkEnd w:id="331"/>
      <w:bookmarkEnd w:id="332"/>
      <w:bookmarkEnd w:id="333"/>
      <w:bookmarkEnd w:id="334"/>
      <w:bookmarkEnd w:id="335"/>
      <w:bookmarkEnd w:id="336"/>
      <w:bookmarkEnd w:id="337"/>
    </w:p>
    <w:p>
      <w:pPr>
        <w:pStyle w:val="305"/>
        <w:numPr>
          <w:ilvl w:val="0"/>
          <w:numId w:val="45"/>
        </w:numPr>
      </w:pPr>
      <w:r>
        <w:rPr>
          <w:rFonts w:hint="eastAsia"/>
        </w:rPr>
        <w:t>利用重要节日和时间节点等开展多渠道、多形式的用材林生物多样性宣传，提升公众认知。</w:t>
      </w:r>
    </w:p>
    <w:p>
      <w:pPr>
        <w:pStyle w:val="305"/>
        <w:numPr>
          <w:ilvl w:val="0"/>
          <w:numId w:val="45"/>
        </w:numPr>
      </w:pPr>
      <w:r>
        <w:rPr>
          <w:rFonts w:hint="eastAsia"/>
        </w:rPr>
        <w:t>开展用材林生物多样性保护技能培训，提高经营单位实施生物多样性友好的人工林培育的胜任力。</w:t>
      </w:r>
    </w:p>
    <w:p>
      <w:pPr>
        <w:pStyle w:val="260"/>
        <w:outlineLvl w:val="1"/>
      </w:pPr>
      <w:bookmarkStart w:id="338" w:name="_Toc13299"/>
      <w:bookmarkStart w:id="339" w:name="_Toc139993818"/>
      <w:bookmarkStart w:id="340" w:name="_Toc139660645"/>
      <w:bookmarkStart w:id="341" w:name="_Toc26717"/>
      <w:bookmarkStart w:id="342" w:name="_Toc23104"/>
      <w:bookmarkStart w:id="343" w:name="_Toc12276"/>
      <w:bookmarkStart w:id="344" w:name="_Toc14159"/>
      <w:bookmarkStart w:id="345" w:name="_Toc32224"/>
      <w:bookmarkStart w:id="346" w:name="_Toc32009"/>
      <w:bookmarkStart w:id="347" w:name="_Toc11646"/>
      <w:r>
        <w:t>调查</w:t>
      </w:r>
      <w:bookmarkEnd w:id="326"/>
      <w:bookmarkEnd w:id="327"/>
      <w:r>
        <w:t>监测</w:t>
      </w:r>
      <w:bookmarkEnd w:id="338"/>
      <w:bookmarkEnd w:id="339"/>
      <w:bookmarkEnd w:id="340"/>
      <w:bookmarkEnd w:id="341"/>
      <w:bookmarkEnd w:id="342"/>
      <w:bookmarkEnd w:id="343"/>
      <w:bookmarkEnd w:id="344"/>
      <w:bookmarkEnd w:id="345"/>
      <w:bookmarkEnd w:id="346"/>
      <w:bookmarkEnd w:id="347"/>
    </w:p>
    <w:p>
      <w:pPr>
        <w:pStyle w:val="305"/>
        <w:numPr>
          <w:ilvl w:val="0"/>
          <w:numId w:val="46"/>
        </w:numPr>
      </w:pPr>
      <w:r>
        <w:rPr>
          <w:rFonts w:hint="eastAsia"/>
        </w:rPr>
        <w:t>结合森林资源相关调查、作业设计调查和历史资料，摸清生物多样性资源本底，并作为森林经营方案编制和营造林作业设计的依据。人工用材林生物多样性评价见附件A。</w:t>
      </w:r>
    </w:p>
    <w:p>
      <w:pPr>
        <w:pStyle w:val="305"/>
        <w:numPr>
          <w:ilvl w:val="0"/>
          <w:numId w:val="46"/>
        </w:numPr>
      </w:pPr>
      <w:bookmarkStart w:id="348" w:name="_Toc66535936"/>
      <w:bookmarkStart w:id="349" w:name="_Toc65531277"/>
      <w:bookmarkStart w:id="350" w:name="_Toc65531276"/>
      <w:r>
        <w:rPr>
          <w:rFonts w:hint="eastAsia"/>
        </w:rPr>
        <w:t>对重点保护树种、有害生物、有益动物以及人工林群落结构开展定期监测，掌握野生动物的动态与生存环境变化等，为就地保护和可持续经营提供决策依据。参考</w:t>
      </w:r>
      <w:r>
        <w:t>LY/T 2241</w:t>
      </w:r>
      <w:r>
        <w:rPr>
          <w:rFonts w:hint="eastAsia"/>
        </w:rPr>
        <w:t>。</w:t>
      </w:r>
    </w:p>
    <w:bookmarkEnd w:id="348"/>
    <w:bookmarkEnd w:id="349"/>
    <w:bookmarkEnd w:id="350"/>
    <w:p>
      <w:pPr>
        <w:pStyle w:val="260"/>
        <w:outlineLvl w:val="1"/>
      </w:pPr>
      <w:bookmarkStart w:id="351" w:name="_Toc15399"/>
      <w:bookmarkStart w:id="352" w:name="_Toc9323"/>
      <w:bookmarkStart w:id="353" w:name="_Toc9507"/>
      <w:bookmarkStart w:id="354" w:name="_Toc139993819"/>
      <w:bookmarkStart w:id="355" w:name="_Toc22396"/>
      <w:bookmarkStart w:id="356" w:name="_Toc139660646"/>
      <w:bookmarkStart w:id="357" w:name="_Toc8957"/>
      <w:bookmarkStart w:id="358" w:name="_Toc31264"/>
      <w:bookmarkStart w:id="359" w:name="_Toc15084"/>
      <w:bookmarkStart w:id="360" w:name="_Toc26045"/>
      <w:r>
        <w:rPr>
          <w:rFonts w:hint="eastAsia"/>
        </w:rPr>
        <w:t>科</w:t>
      </w:r>
      <w:r>
        <w:rPr>
          <w:rFonts w:hint="eastAsia"/>
          <w:lang w:val="en-US" w:eastAsia="zh-CN"/>
        </w:rPr>
        <w:t>学</w:t>
      </w:r>
      <w:r>
        <w:rPr>
          <w:rFonts w:hint="eastAsia"/>
        </w:rPr>
        <w:t>研</w:t>
      </w:r>
      <w:r>
        <w:rPr>
          <w:rFonts w:hint="eastAsia"/>
          <w:lang w:val="en-US" w:eastAsia="zh-CN"/>
        </w:rPr>
        <w:t>究</w:t>
      </w:r>
      <w:bookmarkEnd w:id="351"/>
      <w:bookmarkEnd w:id="352"/>
      <w:bookmarkEnd w:id="353"/>
      <w:bookmarkEnd w:id="354"/>
      <w:bookmarkEnd w:id="355"/>
      <w:bookmarkEnd w:id="356"/>
      <w:bookmarkEnd w:id="357"/>
      <w:bookmarkEnd w:id="358"/>
      <w:bookmarkEnd w:id="359"/>
      <w:bookmarkEnd w:id="360"/>
    </w:p>
    <w:p>
      <w:pPr>
        <w:pStyle w:val="305"/>
        <w:numPr>
          <w:ilvl w:val="0"/>
          <w:numId w:val="47"/>
        </w:numPr>
      </w:pPr>
      <w:r>
        <w:rPr>
          <w:rFonts w:hint="eastAsia"/>
        </w:rPr>
        <w:t>开展用材林生物多样性保护和利用的技术研发与推广，建设生物多样性保护示范基地。</w:t>
      </w:r>
    </w:p>
    <w:p>
      <w:pPr>
        <w:pStyle w:val="305"/>
        <w:numPr>
          <w:ilvl w:val="0"/>
          <w:numId w:val="47"/>
        </w:numPr>
      </w:pPr>
      <w:r>
        <w:rPr>
          <w:rFonts w:hint="eastAsia"/>
        </w:rPr>
        <w:t>开展用材生物多样性最佳实践案例研究</w:t>
      </w:r>
      <w:r>
        <w:t>，制定</w:t>
      </w:r>
      <w:r>
        <w:rPr>
          <w:rFonts w:hint="eastAsia"/>
        </w:rPr>
        <w:t>实施</w:t>
      </w:r>
      <w:r>
        <w:t>行动方案</w:t>
      </w:r>
      <w:r>
        <w:rPr>
          <w:rFonts w:hint="eastAsia"/>
        </w:rPr>
        <w:t>。</w:t>
      </w:r>
    </w:p>
    <w:p>
      <w:pPr>
        <w:pStyle w:val="260"/>
        <w:outlineLvl w:val="1"/>
      </w:pPr>
      <w:bookmarkStart w:id="361" w:name="_Toc8328"/>
      <w:bookmarkStart w:id="362" w:name="_Toc22636"/>
      <w:bookmarkStart w:id="363" w:name="_Toc21351"/>
      <w:bookmarkStart w:id="364" w:name="_Toc18934"/>
      <w:bookmarkStart w:id="365" w:name="_Toc139660647"/>
      <w:bookmarkStart w:id="366" w:name="_Toc139993820"/>
      <w:bookmarkStart w:id="367" w:name="_Toc1016"/>
      <w:bookmarkStart w:id="368" w:name="_Toc12894"/>
      <w:bookmarkStart w:id="369" w:name="_Toc15105"/>
      <w:bookmarkStart w:id="370" w:name="_Toc18498"/>
      <w:bookmarkStart w:id="371" w:name="_Hlk138965039"/>
      <w:r>
        <w:rPr>
          <w:rFonts w:hint="eastAsia"/>
        </w:rPr>
        <w:t>资金支持</w:t>
      </w:r>
      <w:bookmarkEnd w:id="361"/>
      <w:bookmarkEnd w:id="362"/>
      <w:bookmarkEnd w:id="363"/>
      <w:bookmarkEnd w:id="364"/>
      <w:bookmarkEnd w:id="365"/>
      <w:bookmarkEnd w:id="366"/>
      <w:bookmarkEnd w:id="367"/>
      <w:bookmarkEnd w:id="368"/>
      <w:bookmarkEnd w:id="369"/>
      <w:bookmarkEnd w:id="370"/>
    </w:p>
    <w:bookmarkEnd w:id="371"/>
    <w:p>
      <w:pPr>
        <w:pStyle w:val="305"/>
        <w:numPr>
          <w:ilvl w:val="0"/>
          <w:numId w:val="48"/>
        </w:numPr>
      </w:pPr>
      <w:r>
        <w:rPr>
          <w:rFonts w:hint="eastAsia"/>
        </w:rPr>
        <w:t>完善森林生物多样性保护和利用政策，争取实施生物多样性保护措施的责任山、承包林地等进行补贴。</w:t>
      </w:r>
    </w:p>
    <w:p>
      <w:pPr>
        <w:pStyle w:val="305"/>
        <w:numPr>
          <w:ilvl w:val="0"/>
          <w:numId w:val="48"/>
        </w:numPr>
      </w:pPr>
      <w:r>
        <w:rPr>
          <w:rFonts w:hint="eastAsia"/>
        </w:rPr>
        <w:t>被保护物种对</w:t>
      </w:r>
      <w:r>
        <w:rPr>
          <w:rFonts w:hint="eastAsia"/>
          <w:lang w:val="en-US" w:eastAsia="zh-CN"/>
        </w:rPr>
        <w:t>用材</w:t>
      </w:r>
      <w:r>
        <w:rPr>
          <w:rFonts w:hint="eastAsia"/>
        </w:rPr>
        <w:t>林造成损失</w:t>
      </w:r>
      <w:r>
        <w:rPr>
          <w:rFonts w:hint="eastAsia"/>
          <w:lang w:val="en-US" w:eastAsia="zh-CN"/>
        </w:rPr>
        <w:t>时</w:t>
      </w:r>
      <w:r>
        <w:rPr>
          <w:rFonts w:hint="eastAsia"/>
        </w:rPr>
        <w:t>，依法进行补偿。</w:t>
      </w:r>
    </w:p>
    <w:p>
      <w:pPr>
        <w:pStyle w:val="305"/>
        <w:numPr>
          <w:ilvl w:val="0"/>
          <w:numId w:val="48"/>
        </w:numPr>
      </w:pPr>
      <w:r>
        <w:rPr>
          <w:rFonts w:hint="eastAsia"/>
        </w:rPr>
        <w:t>在依靠</w:t>
      </w:r>
      <w:r>
        <w:rPr>
          <w:rFonts w:hint="eastAsia"/>
          <w:lang w:val="en-US" w:eastAsia="zh-CN"/>
        </w:rPr>
        <w:t>野生动植物</w:t>
      </w:r>
      <w:r>
        <w:rPr>
          <w:rFonts w:hint="eastAsia"/>
        </w:rPr>
        <w:t>为生的社区，实施替代产业增收。</w:t>
      </w:r>
    </w:p>
    <w:p>
      <w:pPr>
        <w:pStyle w:val="305"/>
        <w:numPr>
          <w:ilvl w:val="0"/>
          <w:numId w:val="48"/>
        </w:numPr>
      </w:pPr>
      <w:r>
        <w:rPr>
          <w:rFonts w:hint="eastAsia"/>
          <w:lang w:val="en-US" w:eastAsia="zh-CN"/>
        </w:rPr>
        <w:t>为</w:t>
      </w:r>
      <w:r>
        <w:rPr>
          <w:rFonts w:hint="eastAsia"/>
        </w:rPr>
        <w:t>认养、认领、认捐有生物多样性保护价值的森林、林木和野生动物栖息地</w:t>
      </w:r>
      <w:r>
        <w:rPr>
          <w:rFonts w:hint="eastAsia"/>
          <w:lang w:val="en-US" w:eastAsia="zh-CN"/>
        </w:rPr>
        <w:t>提供财政支持</w:t>
      </w:r>
      <w:r>
        <w:rPr>
          <w:rFonts w:hint="eastAsia"/>
        </w:rPr>
        <w:t>。</w:t>
      </w:r>
    </w:p>
    <w:p>
      <w:pPr>
        <w:pStyle w:val="259"/>
        <w:outlineLvl w:val="0"/>
      </w:pPr>
      <w:bookmarkStart w:id="372" w:name="_Toc31315"/>
      <w:bookmarkStart w:id="373" w:name="_Toc29545"/>
      <w:bookmarkStart w:id="374" w:name="_Toc11676"/>
      <w:bookmarkStart w:id="375" w:name="_Toc12157"/>
      <w:bookmarkStart w:id="376" w:name="_Toc19216"/>
      <w:bookmarkStart w:id="377" w:name="_Toc14410"/>
      <w:bookmarkStart w:id="378" w:name="_Toc13099"/>
      <w:bookmarkStart w:id="379" w:name="_Toc15267"/>
      <w:bookmarkStart w:id="380" w:name="_Toc25285"/>
      <w:bookmarkStart w:id="381" w:name="_Toc25009"/>
      <w:r>
        <w:rPr>
          <w:rFonts w:hint="eastAsia"/>
          <w:lang w:val="en-US" w:eastAsia="zh-CN"/>
        </w:rPr>
        <w:t>公众参与</w:t>
      </w:r>
      <w:bookmarkEnd w:id="372"/>
      <w:bookmarkEnd w:id="373"/>
      <w:bookmarkEnd w:id="374"/>
      <w:bookmarkEnd w:id="375"/>
      <w:bookmarkEnd w:id="376"/>
      <w:bookmarkEnd w:id="377"/>
      <w:bookmarkEnd w:id="378"/>
      <w:bookmarkEnd w:id="379"/>
      <w:bookmarkEnd w:id="380"/>
      <w:bookmarkEnd w:id="381"/>
    </w:p>
    <w:p>
      <w:pPr>
        <w:pStyle w:val="261"/>
        <w:spacing w:before="156" w:after="156"/>
        <w:outlineLvl w:val="2"/>
      </w:pPr>
      <w:bookmarkStart w:id="382" w:name="_Toc26212"/>
      <w:bookmarkStart w:id="383" w:name="_Toc21435"/>
      <w:bookmarkStart w:id="384" w:name="_Toc1798"/>
      <w:r>
        <w:rPr>
          <w:rFonts w:hint="eastAsia"/>
        </w:rPr>
        <w:t>社会参与</w:t>
      </w:r>
      <w:bookmarkEnd w:id="382"/>
      <w:bookmarkEnd w:id="383"/>
      <w:bookmarkEnd w:id="384"/>
    </w:p>
    <w:p>
      <w:pPr>
        <w:pStyle w:val="258"/>
        <w:ind w:firstLine="420"/>
      </w:pPr>
      <w:r>
        <w:rPr>
          <w:rFonts w:hint="eastAsia"/>
        </w:rPr>
        <w:t>通过义务植树尽责，包括救助野生动物、清除林区内的陷阱、捕兽夹等，承担保护生物多样性的森林经营活动、认捐认领等，支持保护生物多样性付诸行动。</w:t>
      </w:r>
    </w:p>
    <w:p>
      <w:pPr>
        <w:pStyle w:val="261"/>
        <w:spacing w:before="156" w:after="156"/>
        <w:outlineLvl w:val="2"/>
      </w:pPr>
      <w:bookmarkStart w:id="385" w:name="_Toc24475"/>
      <w:bookmarkStart w:id="386" w:name="_Toc24644"/>
      <w:bookmarkStart w:id="387" w:name="_Toc20683"/>
      <w:r>
        <w:rPr>
          <w:rFonts w:hint="eastAsia"/>
        </w:rPr>
        <w:t>社区参与</w:t>
      </w:r>
      <w:bookmarkEnd w:id="385"/>
      <w:bookmarkEnd w:id="386"/>
      <w:bookmarkEnd w:id="387"/>
    </w:p>
    <w:p>
      <w:pPr>
        <w:pStyle w:val="305"/>
        <w:numPr>
          <w:ilvl w:val="0"/>
          <w:numId w:val="49"/>
        </w:numPr>
      </w:pPr>
      <w:r>
        <w:rPr>
          <w:rFonts w:hint="eastAsia"/>
        </w:rPr>
        <w:t>社区人员参与经营当地森林资源巡护、生物多样性保护监测等活动；</w:t>
      </w:r>
    </w:p>
    <w:p>
      <w:pPr>
        <w:pStyle w:val="305"/>
        <w:numPr>
          <w:ilvl w:val="0"/>
          <w:numId w:val="49"/>
        </w:numPr>
      </w:pPr>
      <w:r>
        <w:rPr>
          <w:rFonts w:hint="eastAsia"/>
        </w:rPr>
        <w:t>社区加强生物多样性保护的村规民约制定和实施，开展促进人工林生物多样性的社区林业、乡村林业造林和经营活动。</w:t>
      </w:r>
    </w:p>
    <w:p>
      <w:pPr>
        <w:pStyle w:val="261"/>
        <w:spacing w:before="156" w:after="156"/>
        <w:outlineLvl w:val="2"/>
      </w:pPr>
      <w:bookmarkStart w:id="388" w:name="_Toc30855"/>
      <w:bookmarkStart w:id="389" w:name="_Toc20068"/>
      <w:bookmarkStart w:id="390" w:name="_Toc22144"/>
      <w:r>
        <w:rPr>
          <w:rFonts w:hint="eastAsia"/>
        </w:rPr>
        <w:t>非政府组织参与</w:t>
      </w:r>
      <w:bookmarkEnd w:id="388"/>
      <w:bookmarkEnd w:id="389"/>
      <w:bookmarkEnd w:id="390"/>
    </w:p>
    <w:p>
      <w:pPr>
        <w:pStyle w:val="258"/>
        <w:ind w:firstLine="420"/>
        <w:rPr>
          <w:rFonts w:cs="Arial" w:asciiTheme="minorEastAsia" w:hAnsiTheme="minorEastAsia"/>
          <w:color w:val="242424"/>
          <w:sz w:val="24"/>
        </w:rPr>
      </w:pPr>
      <w:r>
        <w:rPr>
          <w:rFonts w:hint="eastAsia"/>
        </w:rPr>
        <w:t>面向社会需求实施森林生物多样性保护项目，通过建立生物标本馆（台）、博物馆（室），开办生物多样性“林间课堂”等，实施生物多样性自然教育项目。</w:t>
      </w:r>
    </w:p>
    <w:p>
      <w:pPr>
        <w:pStyle w:val="305"/>
        <w:numPr>
          <w:ilvl w:val="0"/>
          <w:numId w:val="0"/>
        </w:numPr>
      </w:pPr>
    </w:p>
    <w:p>
      <w:pPr>
        <w:pStyle w:val="258"/>
        <w:ind w:firstLine="420"/>
        <w:sectPr>
          <w:headerReference r:id="rId13" w:type="first"/>
          <w:footerReference r:id="rId15" w:type="first"/>
          <w:footerReference r:id="rId14" w:type="default"/>
          <w:pgSz w:w="11907" w:h="16839"/>
          <w:pgMar w:top="1418" w:right="1134" w:bottom="1134" w:left="1418" w:header="1418" w:footer="1134" w:gutter="0"/>
          <w:lnNumType w:countBy="0" w:restart="continuous"/>
          <w:pgNumType w:start="1"/>
          <w:cols w:space="425" w:num="1"/>
          <w:rtlGutter w:val="0"/>
          <w:docGrid w:type="lines" w:linePitch="312" w:charSpace="0"/>
        </w:sectPr>
      </w:pPr>
    </w:p>
    <w:p>
      <w:pPr>
        <w:pStyle w:val="347"/>
        <w:numPr>
          <w:ilvl w:val="0"/>
          <w:numId w:val="0"/>
        </w:numPr>
        <w:tabs>
          <w:tab w:val="clear" w:pos="0"/>
        </w:tabs>
        <w:rPr>
          <w:rFonts w:hint="eastAsia"/>
        </w:rPr>
      </w:pPr>
      <w:bookmarkStart w:id="391" w:name="标准附录"/>
      <w:bookmarkEnd w:id="391"/>
      <w:bookmarkStart w:id="392" w:name="附录头部信息书签_3"/>
      <w:bookmarkStart w:id="393" w:name="_Toc148087860"/>
      <w:bookmarkStart w:id="394" w:name="_Toc3307"/>
      <w:bookmarkStart w:id="395" w:name="_Toc7171"/>
      <w:r>
        <w:rPr>
          <w:rFonts w:hint="eastAsia" w:ascii="Times New Roman" w:hAnsi="Times New Roman" w:eastAsia="宋体" w:cs="Times New Roman"/>
          <w:color w:val="FFFFFF"/>
          <w:kern w:val="2"/>
          <w:sz w:val="21"/>
          <w:szCs w:val="24"/>
          <w:lang w:val="en-US" w:eastAsia="zh-CN" w:bidi="ar-SA"/>
        </w:rPr>
        <w:t>B</w:t>
      </w:r>
    </w:p>
    <w:p>
      <w:pPr>
        <w:pStyle w:val="348"/>
        <w:rPr>
          <w:rFonts w:hint="eastAsia"/>
        </w:rPr>
      </w:pPr>
    </w:p>
    <w:p>
      <w:pPr>
        <w:pStyle w:val="274"/>
        <w:rPr>
          <w:rFonts w:hint="eastAsia"/>
        </w:rPr>
      </w:pPr>
      <w:bookmarkStart w:id="396" w:name="_Toc12078"/>
      <w:bookmarkStart w:id="397" w:name="_Toc31416"/>
      <w:bookmarkStart w:id="398" w:name="_Toc1211"/>
      <w:bookmarkStart w:id="399" w:name="_Toc12896"/>
      <w:bookmarkStart w:id="400" w:name="_Toc2512"/>
      <w:bookmarkStart w:id="401" w:name="_Toc8258"/>
      <w:bookmarkStart w:id="402" w:name="_Toc22235"/>
      <w:bookmarkStart w:id="403" w:name="_Toc12596"/>
      <w:bookmarkStart w:id="404" w:name="_Toc31459"/>
      <w:bookmarkStart w:id="405" w:name="_Toc32766"/>
      <w:bookmarkStart w:id="406" w:name="_Toc13453"/>
    </w:p>
    <w:p>
      <w:pPr>
        <w:pStyle w:val="274"/>
        <w:rPr>
          <w:rFonts w:hint="eastAsia"/>
        </w:rPr>
      </w:pPr>
      <w:r>
        <w:rPr>
          <w:rFonts w:hint="eastAsia"/>
          <w:lang w:eastAsia="zh-CN"/>
        </w:rPr>
        <w:t>（资料性）</w:t>
      </w:r>
    </w:p>
    <w:p>
      <w:pPr>
        <w:pStyle w:val="274"/>
        <w:rPr>
          <w:rFonts w:hint="eastAsia"/>
        </w:rPr>
      </w:pPr>
      <w:r>
        <w:rPr>
          <w:rFonts w:hint="eastAsia"/>
          <w:lang w:eastAsia="zh-CN"/>
        </w:rPr>
        <w:t>自然度分级标准</w:t>
      </w:r>
      <w:bookmarkEnd w:id="392"/>
      <w:bookmarkEnd w:id="396"/>
      <w:bookmarkEnd w:id="397"/>
      <w:bookmarkEnd w:id="398"/>
      <w:bookmarkEnd w:id="399"/>
      <w:bookmarkEnd w:id="400"/>
      <w:bookmarkEnd w:id="401"/>
      <w:bookmarkEnd w:id="402"/>
      <w:bookmarkEnd w:id="403"/>
      <w:bookmarkEnd w:id="404"/>
      <w:bookmarkEnd w:id="405"/>
      <w:bookmarkEnd w:id="406"/>
    </w:p>
    <w:p>
      <w:pPr>
        <w:pStyle w:val="317"/>
        <w:bidi w:val="0"/>
      </w:pPr>
      <w:r>
        <w:t xml:space="preserve"> </w:t>
      </w:r>
      <w:r>
        <w:rPr>
          <w:rFonts w:hint="eastAsia"/>
        </w:rPr>
        <w:t>森林</w:t>
      </w:r>
      <w:r>
        <w:t>自然度分级</w:t>
      </w:r>
    </w:p>
    <w:tbl>
      <w:tblPr>
        <w:tblStyle w:val="88"/>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122"/>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35" w:hRule="atLeast"/>
        </w:trPr>
        <w:tc>
          <w:tcPr>
            <w:tcW w:w="2122" w:type="dxa"/>
            <w:shd w:val="clear" w:color="auto" w:fill="FFFFFF" w:themeFill="background1"/>
            <w:tcMar>
              <w:top w:w="30" w:type="dxa"/>
              <w:left w:w="90" w:type="dxa"/>
              <w:bottom w:w="30" w:type="dxa"/>
              <w:right w:w="90" w:type="dxa"/>
            </w:tcMar>
            <w:vAlign w:val="center"/>
          </w:tcPr>
          <w:p>
            <w:pPr>
              <w:widowControl/>
              <w:spacing w:line="360" w:lineRule="auto"/>
              <w:jc w:val="center"/>
              <w:rPr>
                <w:rFonts w:asciiTheme="minorEastAsia" w:hAnsiTheme="minorEastAsia"/>
                <w:szCs w:val="21"/>
              </w:rPr>
            </w:pPr>
            <w:r>
              <w:rPr>
                <w:rFonts w:asciiTheme="minorEastAsia" w:hAnsiTheme="minorEastAsia"/>
                <w:szCs w:val="21"/>
              </w:rPr>
              <w:t>等</w:t>
            </w:r>
            <w:r>
              <w:rPr>
                <w:rFonts w:hint="eastAsia" w:asciiTheme="minorEastAsia" w:hAnsiTheme="minorEastAsia"/>
                <w:szCs w:val="21"/>
              </w:rPr>
              <w:t xml:space="preserve"> </w:t>
            </w:r>
            <w:r>
              <w:rPr>
                <w:rFonts w:asciiTheme="minorEastAsia" w:hAnsiTheme="minorEastAsia"/>
                <w:szCs w:val="21"/>
              </w:rPr>
              <w:t>级</w:t>
            </w:r>
          </w:p>
        </w:tc>
        <w:tc>
          <w:tcPr>
            <w:tcW w:w="6804" w:type="dxa"/>
            <w:shd w:val="clear" w:color="auto" w:fill="FFFFFF" w:themeFill="background1"/>
            <w:tcMar>
              <w:top w:w="30" w:type="dxa"/>
              <w:left w:w="90" w:type="dxa"/>
              <w:bottom w:w="30" w:type="dxa"/>
              <w:right w:w="90" w:type="dxa"/>
            </w:tcMar>
            <w:vAlign w:val="center"/>
          </w:tcPr>
          <w:p>
            <w:pPr>
              <w:widowControl/>
              <w:spacing w:line="360" w:lineRule="auto"/>
              <w:jc w:val="center"/>
              <w:rPr>
                <w:rFonts w:asciiTheme="minorEastAsia" w:hAnsiTheme="minorEastAsia"/>
                <w:szCs w:val="21"/>
              </w:rPr>
            </w:pPr>
            <w:r>
              <w:rPr>
                <w:rFonts w:asciiTheme="minorEastAsia" w:hAnsiTheme="minorEastAsia"/>
                <w:szCs w:val="21"/>
              </w:rPr>
              <w:t>森</w:t>
            </w:r>
            <w:r>
              <w:rPr>
                <w:rFonts w:hint="eastAsia" w:asciiTheme="minorEastAsia" w:hAnsiTheme="minorEastAsia"/>
                <w:szCs w:val="21"/>
              </w:rPr>
              <w:t xml:space="preserve"> </w:t>
            </w:r>
            <w:r>
              <w:rPr>
                <w:rFonts w:asciiTheme="minorEastAsia" w:hAnsiTheme="minorEastAsia"/>
                <w:szCs w:val="21"/>
              </w:rPr>
              <w:t>林</w:t>
            </w:r>
            <w:r>
              <w:rPr>
                <w:rFonts w:hint="eastAsia" w:asciiTheme="minorEastAsia" w:hAnsiTheme="minorEastAsia"/>
                <w:szCs w:val="21"/>
              </w:rPr>
              <w:t xml:space="preserve"> </w:t>
            </w:r>
            <w:r>
              <w:rPr>
                <w:rFonts w:asciiTheme="minorEastAsia" w:hAnsiTheme="minorEastAsia"/>
                <w:szCs w:val="21"/>
              </w:rPr>
              <w:t>特</w:t>
            </w:r>
            <w:r>
              <w:rPr>
                <w:rFonts w:hint="eastAsia" w:asciiTheme="minorEastAsia" w:hAnsiTheme="minorEastAsia"/>
                <w:szCs w:val="21"/>
              </w:rPr>
              <w:t xml:space="preserve"> </w:t>
            </w:r>
            <w:r>
              <w:rPr>
                <w:rFonts w:asciiTheme="minorEastAsia" w:hAnsiTheme="minorEastAsia"/>
                <w:szCs w:val="21"/>
              </w:rPr>
              <w:t>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 w:hRule="atLeast"/>
        </w:trPr>
        <w:tc>
          <w:tcPr>
            <w:tcW w:w="2122" w:type="dxa"/>
            <w:shd w:val="clear" w:color="auto" w:fill="FFFFFF" w:themeFill="background1"/>
            <w:tcMar>
              <w:top w:w="30" w:type="dxa"/>
              <w:left w:w="90" w:type="dxa"/>
              <w:bottom w:w="30" w:type="dxa"/>
              <w:right w:w="90" w:type="dxa"/>
            </w:tcMar>
            <w:vAlign w:val="center"/>
          </w:tcPr>
          <w:p>
            <w:pPr>
              <w:pStyle w:val="525"/>
              <w:bidi w:val="0"/>
            </w:pPr>
            <w:r>
              <w:t>I</w:t>
            </w:r>
            <w:r>
              <w:rPr>
                <w:rFonts w:hint="eastAsia"/>
              </w:rPr>
              <w:t>（近自然的）</w:t>
            </w:r>
          </w:p>
        </w:tc>
        <w:tc>
          <w:tcPr>
            <w:tcW w:w="6804" w:type="dxa"/>
            <w:shd w:val="clear" w:color="auto" w:fill="FFFFFF" w:themeFill="background1"/>
            <w:tcMar>
              <w:top w:w="30" w:type="dxa"/>
              <w:left w:w="90" w:type="dxa"/>
              <w:bottom w:w="30" w:type="dxa"/>
              <w:right w:w="90" w:type="dxa"/>
            </w:tcMar>
            <w:vAlign w:val="center"/>
          </w:tcPr>
          <w:p>
            <w:pPr>
              <w:pStyle w:val="525"/>
              <w:bidi w:val="0"/>
            </w:pPr>
            <w:r>
              <w:rPr>
                <w:rFonts w:hint="eastAsia"/>
              </w:rPr>
              <w:t>主要树种属于其立地的潜在的自然植被，其它树种株数≤</w:t>
            </w: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3" w:hRule="atLeast"/>
        </w:trPr>
        <w:tc>
          <w:tcPr>
            <w:tcW w:w="2122" w:type="dxa"/>
            <w:shd w:val="clear" w:color="auto" w:fill="FFFFFF" w:themeFill="background1"/>
            <w:tcMar>
              <w:top w:w="30" w:type="dxa"/>
              <w:left w:w="90" w:type="dxa"/>
              <w:bottom w:w="30" w:type="dxa"/>
              <w:right w:w="90" w:type="dxa"/>
            </w:tcMar>
            <w:vAlign w:val="center"/>
          </w:tcPr>
          <w:p>
            <w:pPr>
              <w:pStyle w:val="525"/>
              <w:bidi w:val="0"/>
            </w:pPr>
            <w:r>
              <w:t>II</w:t>
            </w:r>
            <w:r>
              <w:rPr>
                <w:rFonts w:hint="eastAsia"/>
              </w:rPr>
              <w:t>（几近自然的）</w:t>
            </w:r>
          </w:p>
        </w:tc>
        <w:tc>
          <w:tcPr>
            <w:tcW w:w="6804" w:type="dxa"/>
            <w:shd w:val="clear" w:color="auto" w:fill="FFFFFF" w:themeFill="background1"/>
            <w:tcMar>
              <w:top w:w="30" w:type="dxa"/>
              <w:left w:w="90" w:type="dxa"/>
              <w:bottom w:w="30" w:type="dxa"/>
              <w:right w:w="90" w:type="dxa"/>
            </w:tcMar>
            <w:vAlign w:val="center"/>
          </w:tcPr>
          <w:p>
            <w:pPr>
              <w:pStyle w:val="525"/>
              <w:bidi w:val="0"/>
            </w:pPr>
            <w:r>
              <w:rPr>
                <w:rFonts w:hint="eastAsia"/>
              </w:rPr>
              <w:t>主要树种属于其立地的潜在的自然植被，其它树种株数≤2</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3" w:hRule="atLeast"/>
        </w:trPr>
        <w:tc>
          <w:tcPr>
            <w:tcW w:w="2122" w:type="dxa"/>
            <w:shd w:val="clear" w:color="auto" w:fill="FFFFFF" w:themeFill="background1"/>
            <w:tcMar>
              <w:top w:w="30" w:type="dxa"/>
              <w:left w:w="90" w:type="dxa"/>
              <w:bottom w:w="30" w:type="dxa"/>
              <w:right w:w="90" w:type="dxa"/>
            </w:tcMar>
            <w:vAlign w:val="center"/>
          </w:tcPr>
          <w:p>
            <w:pPr>
              <w:pStyle w:val="525"/>
              <w:bidi w:val="0"/>
            </w:pPr>
            <w:r>
              <w:t>III</w:t>
            </w:r>
            <w:r>
              <w:rPr>
                <w:rFonts w:hint="eastAsia"/>
              </w:rPr>
              <w:t>（较近自然的）</w:t>
            </w:r>
          </w:p>
        </w:tc>
        <w:tc>
          <w:tcPr>
            <w:tcW w:w="6804" w:type="dxa"/>
            <w:shd w:val="clear" w:color="auto" w:fill="FFFFFF" w:themeFill="background1"/>
            <w:tcMar>
              <w:top w:w="30" w:type="dxa"/>
              <w:left w:w="90" w:type="dxa"/>
              <w:bottom w:w="30" w:type="dxa"/>
              <w:right w:w="90" w:type="dxa"/>
            </w:tcMar>
            <w:vAlign w:val="center"/>
          </w:tcPr>
          <w:p>
            <w:pPr>
              <w:pStyle w:val="525"/>
              <w:bidi w:val="0"/>
            </w:pPr>
            <w:r>
              <w:rPr>
                <w:rFonts w:hint="eastAsia"/>
              </w:rPr>
              <w:t>林分中的乡土树种株</w:t>
            </w:r>
            <w:r>
              <w:rPr>
                <w:rFonts w:hint="eastAsia"/>
                <w:lang w:val="en-US" w:eastAsia="zh-CN"/>
              </w:rPr>
              <w:t>数</w:t>
            </w:r>
            <w:r>
              <w:rPr>
                <w:rFonts w:hint="eastAsia"/>
              </w:rPr>
              <w:t>≥8</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8" w:hRule="atLeast"/>
        </w:trPr>
        <w:tc>
          <w:tcPr>
            <w:tcW w:w="2122" w:type="dxa"/>
            <w:shd w:val="clear" w:color="auto" w:fill="FFFFFF" w:themeFill="background1"/>
            <w:tcMar>
              <w:top w:w="30" w:type="dxa"/>
              <w:left w:w="90" w:type="dxa"/>
              <w:bottom w:w="30" w:type="dxa"/>
              <w:right w:w="90" w:type="dxa"/>
            </w:tcMar>
            <w:vAlign w:val="center"/>
          </w:tcPr>
          <w:p>
            <w:pPr>
              <w:pStyle w:val="525"/>
              <w:bidi w:val="0"/>
            </w:pPr>
            <w:r>
              <w:t>IV</w:t>
            </w:r>
            <w:r>
              <w:rPr>
                <w:rFonts w:hint="eastAsia"/>
              </w:rPr>
              <w:t>（半自然的）</w:t>
            </w:r>
          </w:p>
        </w:tc>
        <w:tc>
          <w:tcPr>
            <w:tcW w:w="6804" w:type="dxa"/>
            <w:shd w:val="clear" w:color="auto" w:fill="FFFFFF" w:themeFill="background1"/>
            <w:tcMar>
              <w:top w:w="30" w:type="dxa"/>
              <w:left w:w="90" w:type="dxa"/>
              <w:bottom w:w="30" w:type="dxa"/>
              <w:right w:w="90" w:type="dxa"/>
            </w:tcMar>
            <w:vAlign w:val="center"/>
          </w:tcPr>
          <w:p>
            <w:pPr>
              <w:pStyle w:val="525"/>
              <w:bidi w:val="0"/>
            </w:pPr>
            <w:r>
              <w:rPr>
                <w:rFonts w:hint="eastAsia"/>
              </w:rPr>
              <w:t>林分中的乡土树种株</w:t>
            </w:r>
            <w:r>
              <w:rPr>
                <w:rFonts w:hint="eastAsia"/>
                <w:lang w:val="en-US" w:eastAsia="zh-CN"/>
              </w:rPr>
              <w:t>数</w:t>
            </w:r>
            <w:r>
              <w:rPr>
                <w:rFonts w:hint="eastAsia"/>
              </w:rPr>
              <w:t>≥5</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trPr>
        <w:tc>
          <w:tcPr>
            <w:tcW w:w="2122" w:type="dxa"/>
            <w:shd w:val="clear" w:color="auto" w:fill="FFFFFF" w:themeFill="background1"/>
            <w:tcMar>
              <w:top w:w="30" w:type="dxa"/>
              <w:left w:w="90" w:type="dxa"/>
              <w:bottom w:w="30" w:type="dxa"/>
              <w:right w:w="90" w:type="dxa"/>
            </w:tcMar>
            <w:vAlign w:val="center"/>
          </w:tcPr>
          <w:p>
            <w:pPr>
              <w:pStyle w:val="525"/>
              <w:bidi w:val="0"/>
            </w:pPr>
            <w:r>
              <w:t>V</w:t>
            </w:r>
            <w:r>
              <w:rPr>
                <w:rFonts w:hint="eastAsia"/>
              </w:rPr>
              <w:t>（远自然的）</w:t>
            </w:r>
          </w:p>
        </w:tc>
        <w:tc>
          <w:tcPr>
            <w:tcW w:w="6804" w:type="dxa"/>
            <w:shd w:val="clear" w:color="auto" w:fill="FFFFFF" w:themeFill="background1"/>
            <w:tcMar>
              <w:top w:w="30" w:type="dxa"/>
              <w:left w:w="90" w:type="dxa"/>
              <w:bottom w:w="30" w:type="dxa"/>
              <w:right w:w="90" w:type="dxa"/>
            </w:tcMar>
            <w:vAlign w:val="center"/>
          </w:tcPr>
          <w:p>
            <w:pPr>
              <w:pStyle w:val="525"/>
              <w:bidi w:val="0"/>
            </w:pPr>
            <w:r>
              <w:rPr>
                <w:rFonts w:hint="eastAsia"/>
              </w:rPr>
              <w:t>外来树种在林分中占优势，林分中的乡土树种株</w:t>
            </w:r>
            <w:r>
              <w:rPr>
                <w:rFonts w:hint="eastAsia"/>
                <w:lang w:val="en-US" w:eastAsia="zh-CN"/>
              </w:rPr>
              <w:t>数</w:t>
            </w:r>
            <w:r>
              <w:rPr>
                <w:rFonts w:hint="eastAsia"/>
              </w:rPr>
              <w:t>2</w:t>
            </w:r>
            <w: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5" w:hRule="atLeast"/>
        </w:trPr>
        <w:tc>
          <w:tcPr>
            <w:tcW w:w="2122" w:type="dxa"/>
            <w:shd w:val="clear" w:color="auto" w:fill="FFFFFF" w:themeFill="background1"/>
            <w:tcMar>
              <w:top w:w="30" w:type="dxa"/>
              <w:left w:w="90" w:type="dxa"/>
              <w:bottom w:w="30" w:type="dxa"/>
              <w:right w:w="90" w:type="dxa"/>
            </w:tcMar>
            <w:vAlign w:val="center"/>
          </w:tcPr>
          <w:p>
            <w:pPr>
              <w:pStyle w:val="525"/>
              <w:bidi w:val="0"/>
            </w:pPr>
            <w:r>
              <w:rPr>
                <w:rFonts w:hint="eastAsia"/>
              </w:rPr>
              <w:t>VI（人工的）</w:t>
            </w:r>
          </w:p>
        </w:tc>
        <w:tc>
          <w:tcPr>
            <w:tcW w:w="6804" w:type="dxa"/>
            <w:shd w:val="clear" w:color="auto" w:fill="FFFFFF" w:themeFill="background1"/>
            <w:tcMar>
              <w:top w:w="30" w:type="dxa"/>
              <w:left w:w="90" w:type="dxa"/>
              <w:bottom w:w="30" w:type="dxa"/>
              <w:right w:w="90" w:type="dxa"/>
            </w:tcMar>
            <w:vAlign w:val="center"/>
          </w:tcPr>
          <w:p>
            <w:pPr>
              <w:pStyle w:val="525"/>
              <w:bidi w:val="0"/>
            </w:pPr>
            <w:r>
              <w:rPr>
                <w:rFonts w:hint="eastAsia"/>
              </w:rPr>
              <w:t>林分基本由外来树种，乡土树种株树≤2</w:t>
            </w:r>
            <w:r>
              <w:t>0%</w:t>
            </w:r>
          </w:p>
        </w:tc>
      </w:tr>
    </w:tbl>
    <w:p>
      <w:pPr>
        <w:pStyle w:val="303"/>
        <w:numPr>
          <w:ilvl w:val="-1"/>
          <w:numId w:val="0"/>
        </w:numPr>
        <w:bidi w:val="0"/>
        <w:ind w:left="363" w:firstLine="0"/>
        <w:rPr>
          <w:rFonts w:hint="eastAsia"/>
          <w:highlight w:val="yellow"/>
        </w:rPr>
      </w:pPr>
    </w:p>
    <w:p>
      <w:pPr>
        <w:rPr>
          <w:rFonts w:hint="eastAsia"/>
          <w:lang w:eastAsia="zh-CN"/>
        </w:rPr>
      </w:pPr>
    </w:p>
    <w:p>
      <w:pPr>
        <w:rPr>
          <w:rFonts w:hint="eastAsia"/>
          <w:lang w:eastAsia="zh-CN"/>
        </w:rPr>
      </w:pPr>
      <w:r>
        <w:rPr>
          <w:rFonts w:hint="eastAsia"/>
          <w:lang w:eastAsia="zh-CN"/>
        </w:rPr>
        <w:br w:type="page"/>
      </w:r>
    </w:p>
    <w:p>
      <w:pPr>
        <w:rPr>
          <w:rFonts w:hint="eastAsia"/>
          <w:lang w:eastAsia="zh-CN"/>
        </w:rPr>
      </w:pPr>
    </w:p>
    <w:p>
      <w:pPr>
        <w:pStyle w:val="274"/>
      </w:pPr>
      <w:bookmarkStart w:id="407" w:name="_Toc14914"/>
      <w:bookmarkStart w:id="408" w:name="_Toc23730"/>
      <w:bookmarkStart w:id="409" w:name="_Toc3933"/>
      <w:bookmarkStart w:id="410" w:name="_Toc15330"/>
      <w:bookmarkStart w:id="411" w:name="_Toc15522"/>
      <w:bookmarkStart w:id="412" w:name="_Toc523"/>
      <w:bookmarkStart w:id="413" w:name="_Toc24150"/>
      <w:bookmarkStart w:id="414" w:name="_Toc5241"/>
      <w:bookmarkStart w:id="415" w:name="_Toc19021"/>
      <w:bookmarkStart w:id="416" w:name="_Toc24863"/>
      <w:bookmarkStart w:id="417" w:name="_Toc10501"/>
    </w:p>
    <w:p>
      <w:pPr>
        <w:pStyle w:val="274"/>
      </w:pPr>
      <w:r>
        <w:rPr>
          <w:rFonts w:hint="eastAsia"/>
        </w:rPr>
        <w:t>（资料性）</w:t>
      </w:r>
    </w:p>
    <w:p>
      <w:pPr>
        <w:pStyle w:val="274"/>
      </w:pPr>
      <w:r>
        <w:rPr>
          <w:rFonts w:hint="eastAsia"/>
        </w:rPr>
        <w:t>人工用材林生物多样性评价参考表</w:t>
      </w:r>
      <w:bookmarkEnd w:id="407"/>
      <w:bookmarkEnd w:id="408"/>
      <w:bookmarkEnd w:id="409"/>
      <w:bookmarkEnd w:id="410"/>
      <w:bookmarkEnd w:id="411"/>
      <w:bookmarkEnd w:id="412"/>
      <w:bookmarkEnd w:id="413"/>
      <w:bookmarkEnd w:id="414"/>
      <w:bookmarkEnd w:id="415"/>
      <w:bookmarkEnd w:id="416"/>
      <w:bookmarkEnd w:id="417"/>
    </w:p>
    <w:tbl>
      <w:tblPr>
        <w:tblStyle w:val="88"/>
        <w:tblpPr w:leftFromText="180" w:rightFromText="180" w:vertAnchor="text" w:horzAnchor="page" w:tblpX="1404" w:tblpY="203"/>
        <w:tblOverlap w:val="never"/>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01"/>
        <w:gridCol w:w="2460"/>
        <w:gridCol w:w="454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060" w:type="dxa"/>
          </w:tcPr>
          <w:p>
            <w:pPr>
              <w:jc w:val="center"/>
              <w:rPr>
                <w:rFonts w:asciiTheme="minorEastAsia" w:hAnsiTheme="minorEastAsia" w:eastAsiaTheme="minorEastAsia"/>
                <w:b/>
              </w:rPr>
            </w:pPr>
            <w:r>
              <w:rPr>
                <w:rFonts w:hint="eastAsia" w:asciiTheme="minorEastAsia" w:hAnsiTheme="minorEastAsia" w:eastAsiaTheme="minorEastAsia"/>
                <w:b/>
              </w:rPr>
              <w:t>评价尺度</w:t>
            </w:r>
          </w:p>
        </w:tc>
        <w:tc>
          <w:tcPr>
            <w:tcW w:w="701" w:type="dxa"/>
            <w:tcBorders>
              <w:left w:val="nil"/>
            </w:tcBorders>
          </w:tcPr>
          <w:p>
            <w:pPr>
              <w:jc w:val="center"/>
              <w:rPr>
                <w:rFonts w:asciiTheme="minorEastAsia" w:hAnsiTheme="minorEastAsia" w:eastAsiaTheme="minorEastAsia"/>
                <w:b/>
              </w:rPr>
            </w:pPr>
            <w:r>
              <w:rPr>
                <w:rFonts w:hint="eastAsia" w:asciiTheme="minorEastAsia" w:hAnsiTheme="minorEastAsia" w:eastAsiaTheme="minorEastAsia"/>
                <w:b/>
              </w:rPr>
              <w:t>序号</w:t>
            </w:r>
          </w:p>
        </w:tc>
        <w:tc>
          <w:tcPr>
            <w:tcW w:w="2460" w:type="dxa"/>
          </w:tcPr>
          <w:p>
            <w:pPr>
              <w:jc w:val="center"/>
              <w:rPr>
                <w:rFonts w:asciiTheme="minorEastAsia" w:hAnsiTheme="minorEastAsia" w:eastAsiaTheme="minorEastAsia"/>
                <w:b/>
              </w:rPr>
            </w:pPr>
            <w:r>
              <w:rPr>
                <w:rFonts w:hint="eastAsia" w:cs="宋体" w:asciiTheme="minorEastAsia" w:hAnsiTheme="minorEastAsia" w:eastAsiaTheme="minorEastAsia"/>
                <w:b/>
              </w:rPr>
              <w:t>指标</w:t>
            </w:r>
          </w:p>
        </w:tc>
        <w:tc>
          <w:tcPr>
            <w:tcW w:w="4545" w:type="dxa"/>
          </w:tcPr>
          <w:p>
            <w:pPr>
              <w:jc w:val="center"/>
              <w:rPr>
                <w:rFonts w:asciiTheme="minorEastAsia" w:hAnsiTheme="minorEastAsia" w:eastAsiaTheme="minorEastAsia"/>
                <w:b/>
              </w:rPr>
            </w:pPr>
            <w:r>
              <w:rPr>
                <w:rFonts w:asciiTheme="minorEastAsia" w:hAnsiTheme="minorEastAsia" w:eastAsiaTheme="minorEastAsia"/>
                <w:b/>
              </w:rPr>
              <w:t>内涵</w:t>
            </w:r>
          </w:p>
        </w:tc>
        <w:tc>
          <w:tcPr>
            <w:tcW w:w="947" w:type="dxa"/>
          </w:tcPr>
          <w:p>
            <w:pPr>
              <w:jc w:val="center"/>
              <w:rPr>
                <w:rFonts w:asciiTheme="minorEastAsia" w:hAnsiTheme="minorEastAsia" w:eastAsiaTheme="minorEastAsia"/>
                <w:b/>
              </w:rPr>
            </w:pPr>
            <w:r>
              <w:rPr>
                <w:rFonts w:hint="eastAsia" w:cs="宋体" w:asciiTheme="minorEastAsia" w:hAnsiTheme="minorEastAsia" w:eastAsiaTheme="minorEastAsia"/>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restart"/>
            <w:textDirection w:val="tbRlV"/>
          </w:tcPr>
          <w:p>
            <w:pPr>
              <w:ind w:left="113" w:right="113"/>
              <w:jc w:val="center"/>
              <w:rPr>
                <w:rFonts w:asciiTheme="minorEastAsia" w:hAnsiTheme="minorEastAsia" w:eastAsiaTheme="minorEastAsia"/>
              </w:rPr>
            </w:pPr>
            <w:r>
              <w:rPr>
                <w:rFonts w:hint="eastAsia" w:cs="宋体" w:asciiTheme="minorEastAsia" w:hAnsiTheme="minorEastAsia" w:eastAsiaTheme="minorEastAsia"/>
                <w:b/>
                <w:sz w:val="24"/>
              </w:rPr>
              <w:t>森林经营单位层面</w:t>
            </w: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1</w:t>
            </w:r>
          </w:p>
        </w:tc>
        <w:tc>
          <w:tcPr>
            <w:tcW w:w="2460" w:type="dxa"/>
          </w:tcPr>
          <w:p>
            <w:pPr>
              <w:rPr>
                <w:rFonts w:asciiTheme="minorEastAsia" w:hAnsiTheme="minorEastAsia" w:eastAsiaTheme="minorEastAsia"/>
              </w:rPr>
            </w:pPr>
            <w:r>
              <w:rPr>
                <w:rFonts w:hint="eastAsia" w:asciiTheme="minorEastAsia" w:hAnsiTheme="minorEastAsia" w:eastAsiaTheme="minorEastAsia"/>
              </w:rPr>
              <w:t>森林类型多样性</w:t>
            </w:r>
          </w:p>
        </w:tc>
        <w:tc>
          <w:tcPr>
            <w:tcW w:w="4545" w:type="dxa"/>
          </w:tcPr>
          <w:p>
            <w:pPr>
              <w:rPr>
                <w:rFonts w:asciiTheme="minorEastAsia" w:hAnsiTheme="minorEastAsia" w:eastAsiaTheme="minorEastAsia"/>
              </w:rPr>
            </w:pPr>
            <w:r>
              <w:rPr>
                <w:rFonts w:hint="eastAsia" w:cs="宋体" w:asciiTheme="minorEastAsia" w:hAnsiTheme="minorEastAsia" w:eastAsiaTheme="minorEastAsia"/>
              </w:rPr>
              <w:t>不同起源、功能、经营类型等的森林面积比例</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2</w:t>
            </w:r>
          </w:p>
        </w:tc>
        <w:tc>
          <w:tcPr>
            <w:tcW w:w="2460" w:type="dxa"/>
          </w:tcPr>
          <w:p>
            <w:pPr>
              <w:rPr>
                <w:rFonts w:asciiTheme="minorEastAsia" w:hAnsiTheme="minorEastAsia" w:eastAsiaTheme="minorEastAsia"/>
              </w:rPr>
            </w:pPr>
            <w:r>
              <w:rPr>
                <w:rFonts w:hint="eastAsia" w:asciiTheme="minorEastAsia" w:hAnsiTheme="minorEastAsia" w:eastAsiaTheme="minorEastAsia"/>
              </w:rPr>
              <w:t>森林龄组结构比例</w:t>
            </w:r>
          </w:p>
        </w:tc>
        <w:tc>
          <w:tcPr>
            <w:tcW w:w="4545" w:type="dxa"/>
          </w:tcPr>
          <w:p>
            <w:pPr>
              <w:rPr>
                <w:rFonts w:asciiTheme="minorEastAsia" w:hAnsiTheme="minorEastAsia" w:eastAsiaTheme="minorEastAsia"/>
              </w:rPr>
            </w:pPr>
            <w:r>
              <w:rPr>
                <w:rFonts w:hint="eastAsia" w:cs="宋体" w:asciiTheme="minorEastAsia" w:hAnsiTheme="minorEastAsia" w:eastAsiaTheme="minorEastAsia"/>
              </w:rPr>
              <w:t>幼、中、近、成、过林龄的面积比例</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3</w:t>
            </w:r>
          </w:p>
        </w:tc>
        <w:tc>
          <w:tcPr>
            <w:tcW w:w="2460" w:type="dxa"/>
          </w:tcPr>
          <w:p>
            <w:pPr>
              <w:rPr>
                <w:rFonts w:cs="宋体" w:asciiTheme="minorEastAsia" w:hAnsiTheme="minorEastAsia" w:eastAsiaTheme="minorEastAsia"/>
              </w:rPr>
            </w:pPr>
            <w:r>
              <w:rPr>
                <w:rFonts w:hint="eastAsia" w:cs="宋体" w:asciiTheme="minorEastAsia" w:hAnsiTheme="minorEastAsia" w:eastAsiaTheme="minorEastAsia"/>
              </w:rPr>
              <w:t>公益林面积的比重（%）</w:t>
            </w:r>
          </w:p>
        </w:tc>
        <w:tc>
          <w:tcPr>
            <w:tcW w:w="4545" w:type="dxa"/>
          </w:tcPr>
          <w:p>
            <w:pPr>
              <w:rPr>
                <w:rFonts w:cs="宋体" w:asciiTheme="minorEastAsia" w:hAnsiTheme="minorEastAsia" w:eastAsiaTheme="minorEastAsia"/>
              </w:rPr>
            </w:pPr>
            <w:r>
              <w:rPr>
                <w:rFonts w:hint="eastAsia" w:cs="宋体" w:asciiTheme="minorEastAsia" w:hAnsiTheme="minorEastAsia" w:eastAsiaTheme="minorEastAsia"/>
              </w:rPr>
              <w:t>公益林占森林总面积的比例</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4</w:t>
            </w:r>
          </w:p>
        </w:tc>
        <w:tc>
          <w:tcPr>
            <w:tcW w:w="2460" w:type="dxa"/>
          </w:tcPr>
          <w:p>
            <w:pPr>
              <w:rPr>
                <w:rFonts w:asciiTheme="minorEastAsia" w:hAnsiTheme="minorEastAsia" w:eastAsiaTheme="minorEastAsia"/>
              </w:rPr>
            </w:pPr>
            <w:r>
              <w:rPr>
                <w:rFonts w:hint="eastAsia" w:asciiTheme="minorEastAsia" w:hAnsiTheme="minorEastAsia" w:eastAsiaTheme="minorEastAsia"/>
              </w:rPr>
              <w:t>人工林区天然林面积的比重（%）</w:t>
            </w:r>
          </w:p>
        </w:tc>
        <w:tc>
          <w:tcPr>
            <w:tcW w:w="4545" w:type="dxa"/>
          </w:tcPr>
          <w:p>
            <w:pPr>
              <w:rPr>
                <w:rFonts w:cs="宋体" w:asciiTheme="minorEastAsia" w:hAnsiTheme="minorEastAsia" w:eastAsiaTheme="minorEastAsia"/>
              </w:rPr>
            </w:pPr>
            <w:r>
              <w:rPr>
                <w:rFonts w:hint="eastAsia" w:cs="宋体" w:asciiTheme="minorEastAsia" w:hAnsiTheme="minorEastAsia" w:eastAsiaTheme="minorEastAsia"/>
              </w:rPr>
              <w:t>天然林占森林总面积的比例</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5</w:t>
            </w:r>
          </w:p>
        </w:tc>
        <w:tc>
          <w:tcPr>
            <w:tcW w:w="2460" w:type="dxa"/>
          </w:tcPr>
          <w:p>
            <w:pPr>
              <w:rPr>
                <w:rFonts w:asciiTheme="minorEastAsia" w:hAnsiTheme="minorEastAsia" w:eastAsiaTheme="minorEastAsia"/>
              </w:rPr>
            </w:pPr>
            <w:r>
              <w:rPr>
                <w:rFonts w:hint="eastAsia" w:asciiTheme="minorEastAsia" w:hAnsiTheme="minorEastAsia" w:eastAsiaTheme="minorEastAsia"/>
              </w:rPr>
              <w:t>森林的自然度</w:t>
            </w:r>
          </w:p>
        </w:tc>
        <w:tc>
          <w:tcPr>
            <w:tcW w:w="4545" w:type="dxa"/>
          </w:tcPr>
          <w:p>
            <w:pPr>
              <w:rPr>
                <w:rFonts w:cs="宋体" w:asciiTheme="minorEastAsia" w:hAnsiTheme="minorEastAsia" w:eastAsiaTheme="minorEastAsia"/>
              </w:rPr>
            </w:pPr>
            <w:r>
              <w:rPr>
                <w:rFonts w:hint="eastAsia" w:cs="宋体" w:asciiTheme="minorEastAsia" w:hAnsiTheme="minorEastAsia" w:eastAsiaTheme="minorEastAsia"/>
              </w:rPr>
              <w:t>自然度Ⅲ级以上的林分面积比例</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6</w:t>
            </w:r>
          </w:p>
        </w:tc>
        <w:tc>
          <w:tcPr>
            <w:tcW w:w="2460" w:type="dxa"/>
          </w:tcPr>
          <w:p>
            <w:pPr>
              <w:rPr>
                <w:rFonts w:asciiTheme="minorEastAsia" w:hAnsiTheme="minorEastAsia" w:eastAsiaTheme="minorEastAsia"/>
              </w:rPr>
            </w:pPr>
            <w:r>
              <w:rPr>
                <w:rFonts w:hint="eastAsia" w:asciiTheme="minorEastAsia" w:hAnsiTheme="minorEastAsia" w:eastAsiaTheme="minorEastAsia"/>
              </w:rPr>
              <w:t>森林覆盖率（%）</w:t>
            </w:r>
          </w:p>
        </w:tc>
        <w:tc>
          <w:tcPr>
            <w:tcW w:w="4545" w:type="dxa"/>
          </w:tcPr>
          <w:p>
            <w:pPr>
              <w:rPr>
                <w:rFonts w:cs="宋体" w:asciiTheme="minorEastAsia" w:hAnsiTheme="minorEastAsia" w:eastAsiaTheme="minorEastAsia"/>
              </w:rPr>
            </w:pPr>
            <w:r>
              <w:rPr>
                <w:rFonts w:hint="eastAsia" w:cs="宋体" w:asciiTheme="minorEastAsia" w:hAnsiTheme="minorEastAsia" w:eastAsiaTheme="minorEastAsia"/>
              </w:rPr>
              <w:t xml:space="preserve">森林面积/土地总面积χ100%  </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7</w:t>
            </w:r>
          </w:p>
        </w:tc>
        <w:tc>
          <w:tcPr>
            <w:tcW w:w="2460" w:type="dxa"/>
          </w:tcPr>
          <w:p>
            <w:pPr>
              <w:rPr>
                <w:rFonts w:asciiTheme="minorEastAsia" w:hAnsiTheme="minorEastAsia" w:eastAsiaTheme="minorEastAsia"/>
              </w:rPr>
            </w:pPr>
            <w:r>
              <w:rPr>
                <w:rFonts w:hint="eastAsia" w:asciiTheme="minorEastAsia" w:hAnsiTheme="minorEastAsia" w:eastAsiaTheme="minorEastAsia"/>
              </w:rPr>
              <w:t>森林破碎化</w:t>
            </w:r>
          </w:p>
        </w:tc>
        <w:tc>
          <w:tcPr>
            <w:tcW w:w="4545" w:type="dxa"/>
          </w:tcPr>
          <w:p>
            <w:pPr>
              <w:rPr>
                <w:rFonts w:asciiTheme="minorEastAsia" w:hAnsiTheme="minorEastAsia" w:eastAsiaTheme="minorEastAsia"/>
              </w:rPr>
            </w:pPr>
            <w:r>
              <w:rPr>
                <w:rFonts w:hint="eastAsia" w:cs="宋体" w:asciiTheme="minorEastAsia" w:hAnsiTheme="minorEastAsia" w:eastAsiaTheme="minorEastAsia"/>
              </w:rPr>
              <w:t>被道路、围栏等障碍物隔离的森林的面积占森林总面积的比例</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8</w:t>
            </w:r>
          </w:p>
        </w:tc>
        <w:tc>
          <w:tcPr>
            <w:tcW w:w="2460" w:type="dxa"/>
          </w:tcPr>
          <w:p>
            <w:pPr>
              <w:rPr>
                <w:rFonts w:asciiTheme="minorEastAsia" w:hAnsiTheme="minorEastAsia" w:eastAsiaTheme="minorEastAsia"/>
              </w:rPr>
            </w:pPr>
            <w:r>
              <w:rPr>
                <w:rFonts w:hint="eastAsia" w:asciiTheme="minorEastAsia" w:hAnsiTheme="minorEastAsia" w:eastAsiaTheme="minorEastAsia"/>
              </w:rPr>
              <w:t>森林植物物种丰富度</w:t>
            </w:r>
          </w:p>
        </w:tc>
        <w:tc>
          <w:tcPr>
            <w:tcW w:w="4545" w:type="dxa"/>
          </w:tcPr>
          <w:p>
            <w:pPr>
              <w:rPr>
                <w:rFonts w:asciiTheme="minorEastAsia" w:hAnsiTheme="minorEastAsia" w:eastAsiaTheme="minorEastAsia"/>
              </w:rPr>
            </w:pPr>
            <w:r>
              <w:rPr>
                <w:rFonts w:hint="eastAsia" w:cs="宋体" w:asciiTheme="minorEastAsia" w:hAnsiTheme="minorEastAsia" w:eastAsiaTheme="minorEastAsia"/>
              </w:rPr>
              <w:t>森林植物物种数</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jc w:val="cente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9</w:t>
            </w:r>
          </w:p>
        </w:tc>
        <w:tc>
          <w:tcPr>
            <w:tcW w:w="2460" w:type="dxa"/>
          </w:tcPr>
          <w:p>
            <w:pPr>
              <w:rPr>
                <w:rFonts w:asciiTheme="minorEastAsia" w:hAnsiTheme="minorEastAsia" w:eastAsiaTheme="minorEastAsia"/>
              </w:rPr>
            </w:pPr>
            <w:r>
              <w:rPr>
                <w:rFonts w:hint="eastAsia" w:asciiTheme="minorEastAsia" w:hAnsiTheme="minorEastAsia" w:eastAsiaTheme="minorEastAsia"/>
              </w:rPr>
              <w:t>植物物种多样性指数</w:t>
            </w:r>
          </w:p>
        </w:tc>
        <w:tc>
          <w:tcPr>
            <w:tcW w:w="4545" w:type="dxa"/>
          </w:tcPr>
          <w:p>
            <w:pPr>
              <w:rPr>
                <w:rFonts w:asciiTheme="minorEastAsia" w:hAnsiTheme="minorEastAsia" w:eastAsiaTheme="minorEastAsia"/>
              </w:rPr>
            </w:pPr>
            <w:r>
              <w:rPr>
                <w:rFonts w:hint="eastAsia" w:cs="宋体" w:asciiTheme="minorEastAsia" w:hAnsiTheme="minorEastAsia" w:eastAsiaTheme="minorEastAsia"/>
              </w:rPr>
              <w:t>按香农多样性指数等公式计算</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Borders>
              <w:bottom w:val="single" w:color="auto" w:sz="4" w:space="0"/>
            </w:tcBorders>
          </w:tcPr>
          <w:p>
            <w:pPr>
              <w:jc w:val="center"/>
              <w:rPr>
                <w:rFonts w:asciiTheme="minorEastAsia" w:hAnsiTheme="minorEastAsia" w:eastAsiaTheme="minorEastAsia"/>
              </w:rPr>
            </w:pPr>
          </w:p>
        </w:tc>
        <w:tc>
          <w:tcPr>
            <w:tcW w:w="701" w:type="dxa"/>
            <w:tcBorders>
              <w:left w:val="nil"/>
              <w:bottom w:val="single" w:color="auto" w:sz="4" w:space="0"/>
            </w:tcBorders>
          </w:tcPr>
          <w:p>
            <w:pPr>
              <w:jc w:val="center"/>
              <w:rPr>
                <w:rFonts w:asciiTheme="minorEastAsia" w:hAnsiTheme="minorEastAsia" w:eastAsiaTheme="minorEastAsia"/>
              </w:rPr>
            </w:pPr>
            <w:r>
              <w:rPr>
                <w:rFonts w:hint="eastAsia" w:asciiTheme="minorEastAsia" w:hAnsiTheme="minorEastAsia" w:eastAsiaTheme="minorEastAsia"/>
              </w:rPr>
              <w:t>10</w:t>
            </w:r>
          </w:p>
        </w:tc>
        <w:tc>
          <w:tcPr>
            <w:tcW w:w="2460" w:type="dxa"/>
            <w:tcBorders>
              <w:bottom w:val="single" w:color="auto" w:sz="4" w:space="0"/>
            </w:tcBorders>
          </w:tcPr>
          <w:p>
            <w:pPr>
              <w:rPr>
                <w:rFonts w:asciiTheme="minorEastAsia" w:hAnsiTheme="minorEastAsia" w:eastAsiaTheme="minorEastAsia"/>
              </w:rPr>
            </w:pPr>
            <w:r>
              <w:rPr>
                <w:rFonts w:hint="eastAsia" w:asciiTheme="minorEastAsia" w:hAnsiTheme="minorEastAsia" w:eastAsiaTheme="minorEastAsia"/>
              </w:rPr>
              <w:t>珍稀植物物种丰富度</w:t>
            </w:r>
          </w:p>
        </w:tc>
        <w:tc>
          <w:tcPr>
            <w:tcW w:w="4545" w:type="dxa"/>
            <w:tcBorders>
              <w:bottom w:val="single" w:color="auto" w:sz="4" w:space="0"/>
            </w:tcBorders>
          </w:tcPr>
          <w:p>
            <w:pPr>
              <w:rPr>
                <w:rFonts w:asciiTheme="minorEastAsia" w:hAnsiTheme="minorEastAsia" w:eastAsiaTheme="minorEastAsia"/>
              </w:rPr>
            </w:pPr>
            <w:r>
              <w:rPr>
                <w:rFonts w:hint="eastAsia" w:cs="宋体" w:asciiTheme="minorEastAsia" w:hAnsiTheme="minorEastAsia" w:eastAsiaTheme="minorEastAsia"/>
              </w:rPr>
              <w:t>珍稀植物物种数</w:t>
            </w:r>
          </w:p>
        </w:tc>
        <w:tc>
          <w:tcPr>
            <w:tcW w:w="947" w:type="dxa"/>
            <w:tcBorders>
              <w:bottom w:val="single" w:color="auto" w:sz="4" w:space="0"/>
            </w:tcBorders>
          </w:tcPr>
          <w:p>
            <w:pPr>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713" w:type="dxa"/>
            <w:gridSpan w:val="5"/>
            <w:textDirection w:val="tbRlV"/>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60" w:type="dxa"/>
            <w:vMerge w:val="restart"/>
            <w:textDirection w:val="tbRlV"/>
          </w:tcPr>
          <w:p>
            <w:pPr>
              <w:ind w:left="113" w:right="113"/>
              <w:jc w:val="center"/>
              <w:rPr>
                <w:rFonts w:asciiTheme="minorEastAsia" w:hAnsiTheme="minorEastAsia" w:eastAsiaTheme="minorEastAsia"/>
              </w:rPr>
            </w:pPr>
            <w:r>
              <w:rPr>
                <w:rFonts w:hint="eastAsia" w:cs="宋体" w:asciiTheme="minorEastAsia" w:hAnsiTheme="minorEastAsia" w:eastAsiaTheme="minorEastAsia"/>
                <w:b/>
                <w:sz w:val="24"/>
              </w:rPr>
              <w:t>林分（小班）层面</w:t>
            </w: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1</w:t>
            </w:r>
          </w:p>
        </w:tc>
        <w:tc>
          <w:tcPr>
            <w:tcW w:w="2460" w:type="dxa"/>
          </w:tcPr>
          <w:p>
            <w:pPr>
              <w:rPr>
                <w:rFonts w:asciiTheme="minorEastAsia" w:hAnsiTheme="minorEastAsia" w:eastAsiaTheme="minorEastAsia"/>
              </w:rPr>
            </w:pPr>
            <w:r>
              <w:rPr>
                <w:rFonts w:cs="宋体" w:asciiTheme="minorEastAsia" w:hAnsiTheme="minorEastAsia" w:eastAsiaTheme="minorEastAsia"/>
              </w:rPr>
              <w:t>起源和结构</w:t>
            </w:r>
          </w:p>
        </w:tc>
        <w:tc>
          <w:tcPr>
            <w:tcW w:w="4545" w:type="dxa"/>
          </w:tcPr>
          <w:p>
            <w:pPr>
              <w:rPr>
                <w:rFonts w:asciiTheme="minorEastAsia" w:hAnsiTheme="minorEastAsia" w:eastAsiaTheme="minorEastAsia"/>
              </w:rPr>
            </w:pPr>
            <w:r>
              <w:rPr>
                <w:rFonts w:hint="eastAsia" w:asciiTheme="minorEastAsia" w:hAnsiTheme="minorEastAsia" w:eastAsiaTheme="minorEastAsia"/>
              </w:rPr>
              <w:t>实生起源，树种、径级和年龄结构，天然更新</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2</w:t>
            </w:r>
          </w:p>
        </w:tc>
        <w:tc>
          <w:tcPr>
            <w:tcW w:w="2460" w:type="dxa"/>
          </w:tcPr>
          <w:p>
            <w:pPr>
              <w:rPr>
                <w:rFonts w:asciiTheme="minorEastAsia" w:hAnsiTheme="minorEastAsia" w:eastAsiaTheme="minorEastAsia"/>
              </w:rPr>
            </w:pPr>
            <w:r>
              <w:rPr>
                <w:rFonts w:hint="eastAsia" w:cs="宋体" w:asciiTheme="minorEastAsia" w:hAnsiTheme="minorEastAsia" w:eastAsiaTheme="minorEastAsia"/>
              </w:rPr>
              <w:t>生境</w:t>
            </w:r>
          </w:p>
        </w:tc>
        <w:tc>
          <w:tcPr>
            <w:tcW w:w="4545" w:type="dxa"/>
          </w:tcPr>
          <w:p>
            <w:pPr>
              <w:jc w:val="left"/>
              <w:rPr>
                <w:rFonts w:asciiTheme="minorEastAsia" w:hAnsiTheme="minorEastAsia" w:eastAsiaTheme="minorEastAsia"/>
              </w:rPr>
            </w:pPr>
            <w:r>
              <w:rPr>
                <w:rFonts w:asciiTheme="minorEastAsia" w:hAnsiTheme="minorEastAsia" w:eastAsiaTheme="minorEastAsia"/>
              </w:rPr>
              <w:t>生境地形复杂性，</w:t>
            </w:r>
            <w:r>
              <w:rPr>
                <w:rFonts w:hint="eastAsia" w:asciiTheme="minorEastAsia" w:hAnsiTheme="minorEastAsia" w:eastAsiaTheme="minorEastAsia"/>
              </w:rPr>
              <w:t>河</w:t>
            </w:r>
            <w:r>
              <w:rPr>
                <w:rFonts w:hint="eastAsia" w:cs="宋体" w:asciiTheme="minorEastAsia" w:hAnsiTheme="minorEastAsia" w:eastAsiaTheme="minorEastAsia"/>
              </w:rPr>
              <w:t>岸林，大小不一的林隙，自然干扰林地</w:t>
            </w:r>
            <w:r>
              <w:rPr>
                <w:rFonts w:asciiTheme="minorEastAsia" w:hAnsiTheme="minorEastAsia" w:eastAsiaTheme="minorEastAsia"/>
              </w:rPr>
              <w:t>和</w:t>
            </w:r>
            <w:r>
              <w:rPr>
                <w:rFonts w:hint="eastAsia" w:cs="宋体" w:asciiTheme="minorEastAsia" w:hAnsiTheme="minorEastAsia" w:eastAsiaTheme="minorEastAsia"/>
              </w:rPr>
              <w:t>人工林地</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3</w:t>
            </w:r>
          </w:p>
        </w:tc>
        <w:tc>
          <w:tcPr>
            <w:tcW w:w="2460" w:type="dxa"/>
          </w:tcPr>
          <w:p>
            <w:pPr>
              <w:rPr>
                <w:rFonts w:asciiTheme="minorEastAsia" w:hAnsiTheme="minorEastAsia" w:eastAsiaTheme="minorEastAsia"/>
              </w:rPr>
            </w:pPr>
            <w:r>
              <w:rPr>
                <w:rFonts w:hint="eastAsia" w:cs="宋体" w:asciiTheme="minorEastAsia" w:hAnsiTheme="minorEastAsia" w:eastAsiaTheme="minorEastAsia"/>
              </w:rPr>
              <w:t>乔木层</w:t>
            </w:r>
          </w:p>
        </w:tc>
        <w:tc>
          <w:tcPr>
            <w:tcW w:w="4545" w:type="dxa"/>
          </w:tcPr>
          <w:p>
            <w:pPr>
              <w:rPr>
                <w:rFonts w:asciiTheme="minorEastAsia" w:hAnsiTheme="minorEastAsia" w:eastAsiaTheme="minorEastAsia"/>
              </w:rPr>
            </w:pPr>
            <w:r>
              <w:rPr>
                <w:rFonts w:hint="eastAsia" w:cs="宋体" w:asciiTheme="minorEastAsia" w:hAnsiTheme="minorEastAsia" w:eastAsiaTheme="minorEastAsia"/>
              </w:rPr>
              <w:t>林层</w:t>
            </w:r>
            <w:r>
              <w:rPr>
                <w:rFonts w:asciiTheme="minorEastAsia" w:hAnsiTheme="minorEastAsia" w:eastAsiaTheme="minorEastAsia"/>
              </w:rPr>
              <w:t>，</w:t>
            </w:r>
            <w:r>
              <w:rPr>
                <w:rFonts w:hint="eastAsia" w:cs="宋体" w:asciiTheme="minorEastAsia" w:hAnsiTheme="minorEastAsia" w:eastAsiaTheme="minorEastAsia"/>
              </w:rPr>
              <w:t>珍贵阔叶</w:t>
            </w:r>
            <w:r>
              <w:rPr>
                <w:rFonts w:asciiTheme="minorEastAsia" w:hAnsiTheme="minorEastAsia" w:eastAsiaTheme="minorEastAsia"/>
              </w:rPr>
              <w:t>树，</w:t>
            </w:r>
            <w:r>
              <w:rPr>
                <w:rFonts w:hint="eastAsia" w:cs="宋体" w:asciiTheme="minorEastAsia" w:hAnsiTheme="minorEastAsia" w:eastAsiaTheme="minorEastAsia"/>
              </w:rPr>
              <w:t>大径</w:t>
            </w:r>
            <w:r>
              <w:rPr>
                <w:rFonts w:asciiTheme="minorEastAsia" w:hAnsiTheme="minorEastAsia" w:eastAsiaTheme="minorEastAsia"/>
              </w:rPr>
              <w:t>木</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4</w:t>
            </w:r>
          </w:p>
        </w:tc>
        <w:tc>
          <w:tcPr>
            <w:tcW w:w="2460" w:type="dxa"/>
          </w:tcPr>
          <w:p>
            <w:pPr>
              <w:rPr>
                <w:rFonts w:asciiTheme="minorEastAsia" w:hAnsiTheme="minorEastAsia" w:eastAsiaTheme="minorEastAsia"/>
              </w:rPr>
            </w:pPr>
            <w:r>
              <w:rPr>
                <w:rFonts w:hint="eastAsia" w:cs="宋体" w:asciiTheme="minorEastAsia" w:hAnsiTheme="minorEastAsia" w:eastAsiaTheme="minorEastAsia"/>
              </w:rPr>
              <w:t>灌木层</w:t>
            </w:r>
          </w:p>
        </w:tc>
        <w:tc>
          <w:tcPr>
            <w:tcW w:w="4545" w:type="dxa"/>
          </w:tcPr>
          <w:p>
            <w:pPr>
              <w:rPr>
                <w:rFonts w:asciiTheme="minorEastAsia" w:hAnsiTheme="minorEastAsia" w:eastAsiaTheme="minorEastAsia"/>
              </w:rPr>
            </w:pPr>
            <w:r>
              <w:rPr>
                <w:rFonts w:asciiTheme="minorEastAsia" w:hAnsiTheme="minorEastAsia" w:eastAsiaTheme="minorEastAsia"/>
              </w:rPr>
              <w:t>种类和</w:t>
            </w:r>
            <w:r>
              <w:rPr>
                <w:rFonts w:hint="eastAsia" w:asciiTheme="minorEastAsia" w:hAnsiTheme="minorEastAsia" w:eastAsiaTheme="minorEastAsia"/>
              </w:rPr>
              <w:t>盖度</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5</w:t>
            </w:r>
          </w:p>
        </w:tc>
        <w:tc>
          <w:tcPr>
            <w:tcW w:w="2460" w:type="dxa"/>
          </w:tcPr>
          <w:p>
            <w:pPr>
              <w:rPr>
                <w:rFonts w:asciiTheme="minorEastAsia" w:hAnsiTheme="minorEastAsia" w:eastAsiaTheme="minorEastAsia"/>
              </w:rPr>
            </w:pPr>
            <w:r>
              <w:rPr>
                <w:rFonts w:hint="eastAsia" w:cs="宋体" w:asciiTheme="minorEastAsia" w:hAnsiTheme="minorEastAsia" w:eastAsiaTheme="minorEastAsia"/>
              </w:rPr>
              <w:t>地被物</w:t>
            </w:r>
          </w:p>
        </w:tc>
        <w:tc>
          <w:tcPr>
            <w:tcW w:w="4545" w:type="dxa"/>
          </w:tcPr>
          <w:p>
            <w:pPr>
              <w:rPr>
                <w:rFonts w:asciiTheme="minorEastAsia" w:hAnsiTheme="minorEastAsia" w:eastAsiaTheme="minorEastAsia"/>
              </w:rPr>
            </w:pPr>
            <w:r>
              <w:rPr>
                <w:rFonts w:hint="eastAsia" w:asciiTheme="minorEastAsia" w:hAnsiTheme="minorEastAsia" w:eastAsiaTheme="minorEastAsia"/>
              </w:rPr>
              <w:t>包括草本、蕨类、苔藓等活地被物和枯枝落叶层</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6</w:t>
            </w:r>
          </w:p>
        </w:tc>
        <w:tc>
          <w:tcPr>
            <w:tcW w:w="2460" w:type="dxa"/>
          </w:tcPr>
          <w:p>
            <w:pPr>
              <w:rPr>
                <w:rFonts w:asciiTheme="minorEastAsia" w:hAnsiTheme="minorEastAsia" w:eastAsiaTheme="minorEastAsia"/>
              </w:rPr>
            </w:pPr>
            <w:r>
              <w:rPr>
                <w:rFonts w:hint="eastAsia" w:cs="宋体" w:asciiTheme="minorEastAsia" w:hAnsiTheme="minorEastAsia" w:eastAsiaTheme="minorEastAsia"/>
              </w:rPr>
              <w:t>藤本植物</w:t>
            </w:r>
          </w:p>
        </w:tc>
        <w:tc>
          <w:tcPr>
            <w:tcW w:w="4545" w:type="dxa"/>
          </w:tcPr>
          <w:p>
            <w:pPr>
              <w:rPr>
                <w:rFonts w:asciiTheme="minorEastAsia" w:hAnsiTheme="minorEastAsia" w:eastAsiaTheme="minorEastAsia"/>
              </w:rPr>
            </w:pPr>
            <w:r>
              <w:rPr>
                <w:rFonts w:hint="eastAsia" w:asciiTheme="minorEastAsia" w:hAnsiTheme="minorEastAsia" w:eastAsiaTheme="minorEastAsia"/>
              </w:rPr>
              <w:t>有一定的盖度，提供野生动物食物的藤本种</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7</w:t>
            </w:r>
          </w:p>
        </w:tc>
        <w:tc>
          <w:tcPr>
            <w:tcW w:w="2460" w:type="dxa"/>
          </w:tcPr>
          <w:p>
            <w:pPr>
              <w:rPr>
                <w:rFonts w:asciiTheme="minorEastAsia" w:hAnsiTheme="minorEastAsia" w:eastAsiaTheme="minorEastAsia"/>
              </w:rPr>
            </w:pPr>
            <w:r>
              <w:rPr>
                <w:rFonts w:hint="eastAsia" w:cs="宋体" w:asciiTheme="minorEastAsia" w:hAnsiTheme="minorEastAsia" w:eastAsiaTheme="minorEastAsia"/>
              </w:rPr>
              <w:t>枯倒木</w:t>
            </w:r>
          </w:p>
        </w:tc>
        <w:tc>
          <w:tcPr>
            <w:tcW w:w="4545" w:type="dxa"/>
          </w:tcPr>
          <w:p>
            <w:pPr>
              <w:rPr>
                <w:rFonts w:asciiTheme="minorEastAsia" w:hAnsiTheme="minorEastAsia" w:eastAsiaTheme="minorEastAsia"/>
              </w:rPr>
            </w:pPr>
            <w:r>
              <w:rPr>
                <w:rFonts w:hint="eastAsia" w:cs="宋体" w:asciiTheme="minorEastAsia" w:hAnsiTheme="minorEastAsia" w:eastAsiaTheme="minorEastAsia"/>
              </w:rPr>
              <w:t>立枯木、倒木、粗木质残</w:t>
            </w:r>
            <w:r>
              <w:rPr>
                <w:rFonts w:hint="eastAsia" w:asciiTheme="minorEastAsia" w:hAnsiTheme="minorEastAsia" w:eastAsiaTheme="minorEastAsia"/>
              </w:rPr>
              <w:t>体</w:t>
            </w:r>
            <w:r>
              <w:rPr>
                <w:rFonts w:asciiTheme="minorEastAsia" w:hAnsiTheme="minorEastAsia" w:eastAsiaTheme="minorEastAsia"/>
              </w:rPr>
              <w:t>为动物提供栖息地</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60" w:type="dxa"/>
            <w:vMerge w:val="continue"/>
          </w:tcPr>
          <w:p>
            <w:pPr>
              <w:rPr>
                <w:rFonts w:asciiTheme="minorEastAsia" w:hAnsiTheme="minorEastAsia" w:eastAsiaTheme="minorEastAsia"/>
              </w:rPr>
            </w:pPr>
          </w:p>
        </w:tc>
        <w:tc>
          <w:tcPr>
            <w:tcW w:w="701" w:type="dxa"/>
            <w:tcBorders>
              <w:left w:val="nil"/>
              <w:bottom w:val="single" w:color="auto" w:sz="4" w:space="0"/>
            </w:tcBorders>
          </w:tcPr>
          <w:p>
            <w:pPr>
              <w:jc w:val="center"/>
              <w:rPr>
                <w:rFonts w:asciiTheme="minorEastAsia" w:hAnsiTheme="minorEastAsia" w:eastAsiaTheme="minorEastAsia"/>
              </w:rPr>
            </w:pPr>
            <w:r>
              <w:rPr>
                <w:rFonts w:hint="eastAsia" w:asciiTheme="minorEastAsia" w:hAnsiTheme="minorEastAsia" w:eastAsiaTheme="minorEastAsia"/>
              </w:rPr>
              <w:t>8</w:t>
            </w:r>
          </w:p>
        </w:tc>
        <w:tc>
          <w:tcPr>
            <w:tcW w:w="2460" w:type="dxa"/>
            <w:tcBorders>
              <w:bottom w:val="single" w:color="auto" w:sz="4" w:space="0"/>
            </w:tcBorders>
          </w:tcPr>
          <w:p>
            <w:pPr>
              <w:rPr>
                <w:rFonts w:asciiTheme="minorEastAsia" w:hAnsiTheme="minorEastAsia" w:eastAsiaTheme="minorEastAsia"/>
              </w:rPr>
            </w:pPr>
            <w:r>
              <w:rPr>
                <w:rFonts w:hint="eastAsia" w:cs="宋体" w:asciiTheme="minorEastAsia" w:hAnsiTheme="minorEastAsia" w:eastAsiaTheme="minorEastAsia"/>
              </w:rPr>
              <w:t>干扰因子</w:t>
            </w:r>
          </w:p>
        </w:tc>
        <w:tc>
          <w:tcPr>
            <w:tcW w:w="4545" w:type="dxa"/>
            <w:tcBorders>
              <w:bottom w:val="single" w:color="auto" w:sz="4" w:space="0"/>
            </w:tcBorders>
          </w:tcPr>
          <w:p>
            <w:pPr>
              <w:rPr>
                <w:rFonts w:asciiTheme="minorEastAsia" w:hAnsiTheme="minorEastAsia" w:eastAsiaTheme="minorEastAsia"/>
              </w:rPr>
            </w:pPr>
            <w:r>
              <w:rPr>
                <w:rFonts w:asciiTheme="minorEastAsia" w:hAnsiTheme="minorEastAsia" w:eastAsiaTheme="minorEastAsia"/>
              </w:rPr>
              <w:t>不同的自然和人为干扰造成的异质性</w:t>
            </w:r>
          </w:p>
        </w:tc>
        <w:tc>
          <w:tcPr>
            <w:tcW w:w="947" w:type="dxa"/>
            <w:tcBorders>
              <w:bottom w:val="single" w:color="auto" w:sz="4" w:space="0"/>
            </w:tcBorders>
          </w:tcPr>
          <w:p>
            <w:pPr>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60" w:type="dxa"/>
            <w:vMerge w:val="continue"/>
          </w:tcPr>
          <w:p>
            <w:pPr>
              <w:rPr>
                <w:rFonts w:asciiTheme="minorEastAsia" w:hAnsiTheme="minorEastAsia" w:eastAsiaTheme="minorEastAsia"/>
              </w:rPr>
            </w:pPr>
          </w:p>
        </w:tc>
        <w:tc>
          <w:tcPr>
            <w:tcW w:w="701" w:type="dxa"/>
            <w:tcBorders>
              <w:left w:val="nil"/>
            </w:tcBorders>
          </w:tcPr>
          <w:p>
            <w:pPr>
              <w:jc w:val="center"/>
              <w:rPr>
                <w:rFonts w:asciiTheme="minorEastAsia" w:hAnsiTheme="minorEastAsia" w:eastAsiaTheme="minorEastAsia"/>
              </w:rPr>
            </w:pPr>
            <w:r>
              <w:rPr>
                <w:rFonts w:hint="eastAsia" w:asciiTheme="minorEastAsia" w:hAnsiTheme="minorEastAsia" w:eastAsiaTheme="minorEastAsia"/>
              </w:rPr>
              <w:t>9</w:t>
            </w:r>
          </w:p>
        </w:tc>
        <w:tc>
          <w:tcPr>
            <w:tcW w:w="2460" w:type="dxa"/>
          </w:tcPr>
          <w:p>
            <w:pPr>
              <w:rPr>
                <w:rFonts w:asciiTheme="minorEastAsia" w:hAnsiTheme="minorEastAsia" w:eastAsiaTheme="minorEastAsia"/>
              </w:rPr>
            </w:pPr>
            <w:r>
              <w:rPr>
                <w:rFonts w:hint="eastAsia" w:cs="宋体" w:asciiTheme="minorEastAsia" w:hAnsiTheme="minorEastAsia" w:eastAsiaTheme="minorEastAsia"/>
              </w:rPr>
              <w:t>特殊栖息地</w:t>
            </w:r>
          </w:p>
        </w:tc>
        <w:tc>
          <w:tcPr>
            <w:tcW w:w="4545" w:type="dxa"/>
          </w:tcPr>
          <w:p>
            <w:pPr>
              <w:rPr>
                <w:rFonts w:asciiTheme="minorEastAsia" w:hAnsiTheme="minorEastAsia" w:eastAsiaTheme="minorEastAsia"/>
              </w:rPr>
            </w:pPr>
            <w:r>
              <w:rPr>
                <w:rFonts w:asciiTheme="minorEastAsia" w:hAnsiTheme="minorEastAsia" w:eastAsiaTheme="minorEastAsia"/>
              </w:rPr>
              <w:t>鸟巢、树洞、</w:t>
            </w:r>
            <w:r>
              <w:rPr>
                <w:rFonts w:hint="eastAsia" w:asciiTheme="minorEastAsia" w:hAnsiTheme="minorEastAsia" w:eastAsiaTheme="minorEastAsia"/>
              </w:rPr>
              <w:t>湿地、岩生树、溪谷、裸岩等</w:t>
            </w:r>
          </w:p>
        </w:tc>
        <w:tc>
          <w:tcPr>
            <w:tcW w:w="947" w:type="dxa"/>
          </w:tcPr>
          <w:p>
            <w:pPr>
              <w:jc w:val="center"/>
              <w:rPr>
                <w:rFonts w:asciiTheme="minorEastAsia" w:hAnsiTheme="minorEastAsia" w:eastAsiaTheme="minorEastAsia"/>
              </w:rPr>
            </w:pPr>
            <w:r>
              <w:rPr>
                <w:rFonts w:hint="eastAsia" w:asciiTheme="minorEastAsia" w:hAnsiTheme="minorEastAsia" w:eastAsiaTheme="minorEastAsia"/>
              </w:rPr>
              <w:t>10</w:t>
            </w:r>
          </w:p>
        </w:tc>
      </w:tr>
    </w:tbl>
    <w:p>
      <w:pPr>
        <w:pStyle w:val="258"/>
        <w:ind w:firstLine="420"/>
      </w:pPr>
    </w:p>
    <w:p>
      <w:pPr>
        <w:pStyle w:val="303"/>
      </w:pPr>
      <w:r>
        <w:rPr>
          <w:rFonts w:hint="eastAsia"/>
        </w:rPr>
        <w:t xml:space="preserve">相关指标及分值根据现地实际适当调整。 </w:t>
      </w:r>
    </w:p>
    <w:p>
      <w:pPr>
        <w:pStyle w:val="258"/>
        <w:ind w:firstLine="400"/>
        <w:rPr>
          <w:rFonts w:asciiTheme="minorEastAsia" w:hAnsiTheme="minorEastAsia"/>
          <w:sz w:val="20"/>
        </w:rPr>
        <w:sectPr>
          <w:pgSz w:w="11907" w:h="16839"/>
          <w:pgMar w:top="1418" w:right="1134" w:bottom="1134" w:left="1418" w:header="1418" w:footer="1134" w:gutter="0"/>
          <w:lnNumType w:countBy="0" w:restart="continuous"/>
          <w:cols w:space="425" w:num="1"/>
          <w:rtlGutter w:val="0"/>
          <w:docGrid w:type="lines" w:linePitch="312" w:charSpace="0"/>
        </w:sectPr>
      </w:pPr>
    </w:p>
    <w:p>
      <w:pPr>
        <w:pStyle w:val="347"/>
        <w:numPr>
          <w:ilvl w:val="0"/>
          <w:numId w:val="0"/>
        </w:numPr>
        <w:tabs>
          <w:tab w:val="clear" w:pos="0"/>
        </w:tabs>
      </w:pPr>
      <w:r>
        <w:rPr>
          <w:rFonts w:hint="eastAsia" w:ascii="Times New Roman" w:hAnsi="Times New Roman" w:eastAsia="宋体" w:cs="Times New Roman"/>
          <w:color w:val="FFFFFF"/>
          <w:kern w:val="2"/>
          <w:sz w:val="21"/>
          <w:szCs w:val="24"/>
          <w:lang w:val="en-US" w:eastAsia="zh-CN" w:bidi="ar-SA"/>
        </w:rPr>
        <w:t>C</w:t>
      </w:r>
    </w:p>
    <w:p>
      <w:pPr>
        <w:pStyle w:val="348"/>
      </w:pPr>
    </w:p>
    <w:p>
      <w:pPr>
        <w:pStyle w:val="274"/>
      </w:pPr>
      <w:bookmarkStart w:id="418" w:name="_Toc8015"/>
      <w:bookmarkStart w:id="419" w:name="_Toc19626"/>
      <w:bookmarkStart w:id="420" w:name="_Toc5883"/>
      <w:bookmarkStart w:id="421" w:name="_Toc10820"/>
      <w:bookmarkStart w:id="422" w:name="_Toc17864"/>
      <w:bookmarkStart w:id="423" w:name="_Toc898"/>
      <w:bookmarkStart w:id="424" w:name="_Toc10442"/>
      <w:bookmarkStart w:id="425" w:name="_Toc5155"/>
      <w:bookmarkStart w:id="426" w:name="_Toc25048"/>
      <w:bookmarkStart w:id="427" w:name="_Toc864"/>
      <w:bookmarkStart w:id="428" w:name="_Toc21860"/>
    </w:p>
    <w:p>
      <w:pPr>
        <w:pStyle w:val="274"/>
      </w:pPr>
      <w:r>
        <w:rPr>
          <w:rFonts w:hint="eastAsia"/>
        </w:rPr>
        <w:t>（</w:t>
      </w:r>
      <w:r>
        <w:rPr>
          <w:rFonts w:hint="eastAsia"/>
          <w:lang w:val="en-US" w:eastAsia="zh-CN"/>
        </w:rPr>
        <w:t>资料</w:t>
      </w:r>
      <w:r>
        <w:rPr>
          <w:rFonts w:hint="eastAsia"/>
        </w:rPr>
        <w:t>性）</w:t>
      </w:r>
    </w:p>
    <w:p>
      <w:pPr>
        <w:pStyle w:val="274"/>
      </w:pPr>
      <w:r>
        <w:rPr>
          <w:rFonts w:hint="eastAsia"/>
        </w:rPr>
        <w:t>森林培育类型表</w:t>
      </w:r>
      <w:bookmarkEnd w:id="418"/>
      <w:bookmarkEnd w:id="419"/>
      <w:bookmarkEnd w:id="420"/>
      <w:bookmarkEnd w:id="421"/>
      <w:bookmarkEnd w:id="422"/>
      <w:bookmarkEnd w:id="423"/>
      <w:bookmarkEnd w:id="424"/>
      <w:bookmarkEnd w:id="425"/>
      <w:bookmarkEnd w:id="426"/>
      <w:bookmarkEnd w:id="427"/>
      <w:bookmarkEnd w:id="428"/>
    </w:p>
    <w:tbl>
      <w:tblPr>
        <w:tblStyle w:val="88"/>
        <w:tblW w:w="9474"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1576"/>
        <w:gridCol w:w="1984"/>
        <w:gridCol w:w="1134"/>
        <w:gridCol w:w="1722"/>
        <w:gridCol w:w="3058"/>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576" w:type="dxa"/>
            <w:tcBorders>
              <w:bottom w:val="nil"/>
            </w:tcBorders>
            <w:vAlign w:val="center"/>
          </w:tcPr>
          <w:p>
            <w:pPr>
              <w:pStyle w:val="40"/>
              <w:jc w:val="center"/>
              <w:rPr>
                <w:rFonts w:asciiTheme="minorEastAsia" w:hAnsiTheme="minorEastAsia" w:eastAsiaTheme="minorEastAsia"/>
                <w:b/>
                <w:bCs/>
                <w:szCs w:val="16"/>
              </w:rPr>
            </w:pPr>
            <w:r>
              <w:rPr>
                <w:rFonts w:asciiTheme="minorEastAsia" w:hAnsiTheme="minorEastAsia" w:eastAsiaTheme="minorEastAsia"/>
                <w:b/>
                <w:bCs/>
                <w:szCs w:val="16"/>
              </w:rPr>
              <w:t>经营类型</w:t>
            </w:r>
          </w:p>
        </w:tc>
        <w:tc>
          <w:tcPr>
            <w:tcW w:w="1984" w:type="dxa"/>
            <w:tcBorders>
              <w:bottom w:val="nil"/>
            </w:tcBorders>
            <w:vAlign w:val="center"/>
          </w:tcPr>
          <w:p>
            <w:pPr>
              <w:pStyle w:val="40"/>
              <w:jc w:val="center"/>
              <w:rPr>
                <w:rFonts w:asciiTheme="minorEastAsia" w:hAnsiTheme="minorEastAsia" w:eastAsiaTheme="minorEastAsia"/>
                <w:b/>
                <w:bCs/>
                <w:szCs w:val="16"/>
              </w:rPr>
            </w:pPr>
            <w:r>
              <w:rPr>
                <w:rFonts w:asciiTheme="minorEastAsia" w:hAnsiTheme="minorEastAsia" w:eastAsiaTheme="minorEastAsia"/>
                <w:b/>
                <w:bCs/>
                <w:szCs w:val="16"/>
              </w:rPr>
              <w:t>目标林分</w:t>
            </w:r>
          </w:p>
        </w:tc>
        <w:tc>
          <w:tcPr>
            <w:tcW w:w="1134" w:type="dxa"/>
            <w:tcBorders>
              <w:bottom w:val="nil"/>
            </w:tcBorders>
            <w:vAlign w:val="center"/>
          </w:tcPr>
          <w:p>
            <w:pPr>
              <w:pStyle w:val="40"/>
              <w:jc w:val="center"/>
              <w:rPr>
                <w:rFonts w:asciiTheme="minorEastAsia" w:hAnsiTheme="minorEastAsia" w:eastAsiaTheme="minorEastAsia"/>
                <w:b/>
                <w:bCs/>
                <w:szCs w:val="16"/>
              </w:rPr>
            </w:pPr>
            <w:r>
              <w:rPr>
                <w:rFonts w:asciiTheme="minorEastAsia" w:hAnsiTheme="minorEastAsia" w:eastAsiaTheme="minorEastAsia"/>
                <w:b/>
                <w:bCs/>
                <w:szCs w:val="16"/>
              </w:rPr>
              <w:t>作业法</w:t>
            </w:r>
          </w:p>
        </w:tc>
        <w:tc>
          <w:tcPr>
            <w:tcW w:w="1722" w:type="dxa"/>
            <w:tcBorders>
              <w:bottom w:val="nil"/>
            </w:tcBorders>
            <w:vAlign w:val="center"/>
          </w:tcPr>
          <w:p>
            <w:pPr>
              <w:pStyle w:val="40"/>
              <w:jc w:val="center"/>
              <w:rPr>
                <w:rFonts w:asciiTheme="minorEastAsia" w:hAnsiTheme="minorEastAsia" w:eastAsiaTheme="minorEastAsia"/>
                <w:b/>
                <w:bCs/>
                <w:szCs w:val="16"/>
              </w:rPr>
            </w:pPr>
            <w:r>
              <w:rPr>
                <w:rFonts w:asciiTheme="minorEastAsia" w:hAnsiTheme="minorEastAsia" w:eastAsiaTheme="minorEastAsia"/>
                <w:b/>
                <w:bCs/>
                <w:szCs w:val="16"/>
              </w:rPr>
              <w:t>自然度</w:t>
            </w:r>
          </w:p>
        </w:tc>
        <w:tc>
          <w:tcPr>
            <w:tcW w:w="3058" w:type="dxa"/>
            <w:tcBorders>
              <w:bottom w:val="nil"/>
            </w:tcBorders>
            <w:vAlign w:val="center"/>
          </w:tcPr>
          <w:p>
            <w:pPr>
              <w:pStyle w:val="40"/>
              <w:jc w:val="center"/>
              <w:rPr>
                <w:rFonts w:asciiTheme="minorEastAsia" w:hAnsiTheme="minorEastAsia" w:eastAsiaTheme="minorEastAsia"/>
                <w:b/>
                <w:bCs/>
                <w:szCs w:val="16"/>
              </w:rPr>
            </w:pPr>
            <w:r>
              <w:rPr>
                <w:rFonts w:asciiTheme="minorEastAsia" w:hAnsiTheme="minorEastAsia" w:eastAsiaTheme="minorEastAsia"/>
                <w:b/>
                <w:bCs/>
                <w:szCs w:val="16"/>
              </w:rPr>
              <w:t>全周期育林措施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576" w:type="dxa"/>
            <w:vAlign w:val="center"/>
          </w:tcPr>
          <w:p>
            <w:pPr>
              <w:pStyle w:val="260"/>
              <w:numPr>
                <w:ilvl w:val="0"/>
                <w:numId w:val="0"/>
              </w:numPr>
              <w:ind w:left="284"/>
              <w:jc w:val="both"/>
              <w:rPr>
                <w:rFonts w:asciiTheme="minorEastAsia" w:hAnsiTheme="minorEastAsia" w:eastAsiaTheme="minorEastAsia"/>
              </w:rPr>
            </w:pPr>
            <w:bookmarkStart w:id="429" w:name="_Toc9099"/>
            <w:bookmarkStart w:id="430" w:name="_Toc22968"/>
            <w:bookmarkStart w:id="431" w:name="_Toc6107"/>
            <w:r>
              <w:rPr>
                <w:rFonts w:hint="eastAsia" w:asciiTheme="minorEastAsia" w:hAnsiTheme="minorEastAsia" w:eastAsiaTheme="minorEastAsia"/>
              </w:rPr>
              <w:t>1长周期珍</w:t>
            </w:r>
            <w:r>
              <w:rPr>
                <w:rFonts w:hint="eastAsia" w:asciiTheme="minorEastAsia" w:hAnsiTheme="minorEastAsia" w:eastAsiaTheme="minorEastAsia"/>
                <w:lang w:val="en-US" w:eastAsia="zh-CN"/>
              </w:rPr>
              <w:t>贵</w:t>
            </w:r>
            <w:r>
              <w:rPr>
                <w:rFonts w:hint="eastAsia" w:asciiTheme="minorEastAsia" w:hAnsiTheme="minorEastAsia" w:eastAsiaTheme="minorEastAsia"/>
              </w:rPr>
              <w:t>树种</w:t>
            </w:r>
            <w:bookmarkEnd w:id="429"/>
            <w:bookmarkEnd w:id="430"/>
            <w:bookmarkEnd w:id="431"/>
          </w:p>
          <w:p>
            <w:pPr>
              <w:pStyle w:val="40"/>
              <w:rPr>
                <w:rFonts w:asciiTheme="minorEastAsia" w:hAnsiTheme="minorEastAsia" w:eastAsiaTheme="minorEastAsia"/>
                <w:szCs w:val="16"/>
              </w:rPr>
            </w:pPr>
          </w:p>
        </w:tc>
        <w:tc>
          <w:tcPr>
            <w:tcW w:w="198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hint="eastAsia" w:asciiTheme="minorEastAsia" w:hAnsiTheme="minorEastAsia" w:eastAsiaTheme="minorEastAsia"/>
              </w:rPr>
              <w:t>珍稀树种异龄纯林、以珍</w:t>
            </w:r>
            <w:r>
              <w:rPr>
                <w:rFonts w:hint="eastAsia" w:asciiTheme="minorEastAsia" w:hAnsiTheme="minorEastAsia" w:eastAsiaTheme="minorEastAsia"/>
                <w:lang w:val="en-US" w:eastAsia="zh-CN"/>
              </w:rPr>
              <w:t>贵</w:t>
            </w:r>
            <w:r>
              <w:rPr>
                <w:rFonts w:hint="eastAsia" w:asciiTheme="minorEastAsia" w:hAnsiTheme="minorEastAsia" w:eastAsiaTheme="minorEastAsia"/>
              </w:rPr>
              <w:t>树种为优势的针阔混交林和阔叶混交林</w:t>
            </w:r>
          </w:p>
        </w:tc>
        <w:tc>
          <w:tcPr>
            <w:tcW w:w="113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rPr>
            </w:pPr>
            <w:r>
              <w:rPr>
                <w:rFonts w:hint="eastAsia" w:asciiTheme="minorEastAsia" w:hAnsiTheme="minorEastAsia" w:eastAsiaTheme="minorEastAsia"/>
              </w:rPr>
              <w:t>择伐、渐伐</w:t>
            </w:r>
          </w:p>
          <w:p>
            <w:pPr>
              <w:pStyle w:val="40"/>
              <w:rPr>
                <w:rFonts w:asciiTheme="minorEastAsia" w:hAnsiTheme="minorEastAsia" w:eastAsiaTheme="minorEastAsia"/>
                <w:szCs w:val="16"/>
              </w:rPr>
            </w:pPr>
          </w:p>
        </w:tc>
        <w:tc>
          <w:tcPr>
            <w:tcW w:w="1722"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asciiTheme="minorEastAsia" w:hAnsiTheme="minorEastAsia" w:eastAsiaTheme="minorEastAsia"/>
              </w:rPr>
              <w:t>整体高</w:t>
            </w:r>
          </w:p>
        </w:tc>
        <w:tc>
          <w:tcPr>
            <w:tcW w:w="3058" w:type="dxa"/>
            <w:vMerge w:val="restart"/>
          </w:tcPr>
          <w:p>
            <w:pPr>
              <w:pStyle w:val="258"/>
              <w:tabs>
                <w:tab w:val="center" w:pos="4201"/>
                <w:tab w:val="right" w:leader="dot" w:pos="9298"/>
              </w:tabs>
              <w:spacing w:before="156" w:after="156"/>
              <w:ind w:firstLine="420"/>
              <w:rPr>
                <w:rFonts w:asciiTheme="minorEastAsia" w:hAnsiTheme="minorEastAsia" w:eastAsiaTheme="minorEastAsia"/>
                <w:szCs w:val="16"/>
              </w:rPr>
            </w:pPr>
            <w:r>
              <w:rPr>
                <w:rFonts w:hint="eastAsia" w:asciiTheme="minorEastAsia" w:hAnsiTheme="minorEastAsia" w:eastAsiaTheme="minorEastAsia"/>
                <w:szCs w:val="16"/>
              </w:rPr>
              <w:t>——建群阶段：指人工造林至林分郁闭阶段。采取未成林管护措施。</w:t>
            </w:r>
          </w:p>
          <w:p>
            <w:pPr>
              <w:pStyle w:val="258"/>
              <w:tabs>
                <w:tab w:val="center" w:pos="4201"/>
                <w:tab w:val="right" w:leader="dot" w:pos="9298"/>
              </w:tabs>
              <w:spacing w:before="156" w:after="156"/>
              <w:ind w:firstLine="420"/>
              <w:rPr>
                <w:rFonts w:asciiTheme="minorEastAsia" w:hAnsiTheme="minorEastAsia" w:eastAsiaTheme="minorEastAsia"/>
                <w:szCs w:val="16"/>
              </w:rPr>
            </w:pPr>
            <w:r>
              <w:rPr>
                <w:rFonts w:hint="eastAsia" w:asciiTheme="minorEastAsia" w:hAnsiTheme="minorEastAsia" w:eastAsiaTheme="minorEastAsia"/>
                <w:szCs w:val="16"/>
              </w:rPr>
              <w:t>——竞争阶段：指林木个体关系从互助发展到竞争，高生长快速增长，林分郁闭度逐步提高，林下植被逐渐减少的阶段。进行透光伐、疏伐，补植演替后期树种，调整立木度和树种结构。</w:t>
            </w:r>
          </w:p>
          <w:p>
            <w:pPr>
              <w:pStyle w:val="258"/>
              <w:tabs>
                <w:tab w:val="center" w:pos="4201"/>
                <w:tab w:val="right" w:leader="dot" w:pos="9298"/>
              </w:tabs>
              <w:spacing w:before="156" w:after="156"/>
              <w:ind w:firstLine="420"/>
              <w:rPr>
                <w:rFonts w:asciiTheme="minorEastAsia" w:hAnsiTheme="minorEastAsia" w:eastAsiaTheme="minorEastAsia"/>
                <w:szCs w:val="16"/>
              </w:rPr>
            </w:pPr>
            <w:r>
              <w:rPr>
                <w:rFonts w:hint="eastAsia" w:asciiTheme="minorEastAsia" w:hAnsiTheme="minorEastAsia" w:eastAsiaTheme="minorEastAsia"/>
                <w:szCs w:val="16"/>
              </w:rPr>
              <w:t>——质量选择阶段：指优势木和被压木可以明显识别出来，林木间的竞争导致个体显著分化的阶段。采取生长伐和目标树管理措施，通过人工促进天然更新和补植调整林分结构。对于短周期工业用材林，为按龄组划分的成熟林阶段，实行主伐，伐后采用人工更新或人工促进天然更新。</w:t>
            </w:r>
          </w:p>
          <w:p>
            <w:pPr>
              <w:pStyle w:val="258"/>
              <w:tabs>
                <w:tab w:val="center" w:pos="4201"/>
                <w:tab w:val="right" w:leader="dot" w:pos="9298"/>
              </w:tabs>
              <w:spacing w:before="156" w:after="156"/>
              <w:ind w:firstLine="420"/>
              <w:rPr>
                <w:rFonts w:asciiTheme="minorEastAsia" w:hAnsiTheme="minorEastAsia" w:eastAsiaTheme="minorEastAsia"/>
                <w:szCs w:val="16"/>
              </w:rPr>
            </w:pPr>
            <w:r>
              <w:rPr>
                <w:rFonts w:hint="eastAsia" w:asciiTheme="minorEastAsia" w:hAnsiTheme="minorEastAsia" w:eastAsiaTheme="minorEastAsia"/>
                <w:szCs w:val="16"/>
              </w:rPr>
              <w:t>——近自然林阶段：天然更新的耐阴树种林木进入主林层，部分林木达到目标直径，林分呈现混交林结构且蓄积快速生长的阶段。采取采伐达到目标直径的目标树、下层透光伐、培育二代目标树等措施。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908" w:hRule="atLeast"/>
          <w:jc w:val="center"/>
        </w:trPr>
        <w:tc>
          <w:tcPr>
            <w:tcW w:w="1576" w:type="dxa"/>
            <w:vAlign w:val="center"/>
          </w:tcPr>
          <w:p>
            <w:pPr>
              <w:pStyle w:val="260"/>
              <w:numPr>
                <w:ilvl w:val="0"/>
                <w:numId w:val="0"/>
              </w:numPr>
              <w:ind w:left="284"/>
              <w:jc w:val="both"/>
              <w:rPr>
                <w:rFonts w:asciiTheme="minorEastAsia" w:hAnsiTheme="minorEastAsia" w:eastAsiaTheme="minorEastAsia"/>
                <w:szCs w:val="16"/>
              </w:rPr>
            </w:pPr>
            <w:bookmarkStart w:id="432" w:name="_Toc5117"/>
            <w:bookmarkStart w:id="433" w:name="_Toc15989"/>
            <w:bookmarkStart w:id="434" w:name="_Toc9755"/>
            <w:r>
              <w:rPr>
                <w:rFonts w:hint="eastAsia" w:asciiTheme="minorEastAsia" w:hAnsiTheme="minorEastAsia" w:eastAsiaTheme="minorEastAsia"/>
              </w:rPr>
              <w:t>2中长周期一般树种</w:t>
            </w:r>
            <w:bookmarkEnd w:id="432"/>
            <w:bookmarkEnd w:id="433"/>
            <w:bookmarkEnd w:id="434"/>
          </w:p>
        </w:tc>
        <w:tc>
          <w:tcPr>
            <w:tcW w:w="198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hint="eastAsia" w:asciiTheme="minorEastAsia" w:hAnsiTheme="minorEastAsia" w:eastAsiaTheme="minorEastAsia"/>
              </w:rPr>
              <w:t>异龄纯林、针阔混交林或阔叶混交林</w:t>
            </w:r>
          </w:p>
        </w:tc>
        <w:tc>
          <w:tcPr>
            <w:tcW w:w="113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hint="eastAsia" w:asciiTheme="minorEastAsia" w:hAnsiTheme="minorEastAsia" w:eastAsiaTheme="minorEastAsia"/>
              </w:rPr>
              <w:t>择伐、渐伐</w:t>
            </w:r>
          </w:p>
        </w:tc>
        <w:tc>
          <w:tcPr>
            <w:tcW w:w="1722"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asciiTheme="minorEastAsia" w:hAnsiTheme="minorEastAsia" w:eastAsiaTheme="minorEastAsia"/>
              </w:rPr>
              <w:t>整体</w:t>
            </w:r>
            <w:r>
              <w:rPr>
                <w:rFonts w:hint="eastAsia" w:asciiTheme="minorEastAsia" w:hAnsiTheme="minorEastAsia" w:eastAsiaTheme="minorEastAsia"/>
              </w:rPr>
              <w:t>高或</w:t>
            </w:r>
            <w:r>
              <w:rPr>
                <w:rFonts w:asciiTheme="minorEastAsia" w:hAnsiTheme="minorEastAsia" w:eastAsiaTheme="minorEastAsia"/>
              </w:rPr>
              <w:t>较高</w:t>
            </w:r>
          </w:p>
        </w:tc>
        <w:tc>
          <w:tcPr>
            <w:tcW w:w="3058" w:type="dxa"/>
            <w:vMerge w:val="continue"/>
          </w:tcPr>
          <w:p>
            <w:pPr>
              <w:pStyle w:val="258"/>
              <w:tabs>
                <w:tab w:val="center" w:pos="4201"/>
                <w:tab w:val="right" w:leader="dot" w:pos="9298"/>
              </w:tabs>
              <w:spacing w:before="156" w:after="156"/>
              <w:ind w:firstLine="420"/>
              <w:rPr>
                <w:rFonts w:asciiTheme="minorEastAsia" w:hAnsiTheme="minorEastAsia" w:eastAsiaTheme="minorEastAsia"/>
                <w:szCs w:val="16"/>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978" w:hRule="atLeast"/>
          <w:jc w:val="center"/>
        </w:trPr>
        <w:tc>
          <w:tcPr>
            <w:tcW w:w="1576" w:type="dxa"/>
            <w:vAlign w:val="center"/>
          </w:tcPr>
          <w:p>
            <w:pPr>
              <w:pStyle w:val="260"/>
              <w:numPr>
                <w:ilvl w:val="0"/>
                <w:numId w:val="0"/>
              </w:numPr>
              <w:ind w:left="284"/>
              <w:jc w:val="both"/>
              <w:rPr>
                <w:rFonts w:asciiTheme="minorEastAsia" w:hAnsiTheme="minorEastAsia" w:eastAsiaTheme="minorEastAsia"/>
              </w:rPr>
            </w:pPr>
            <w:bookmarkStart w:id="435" w:name="_Toc13649"/>
            <w:bookmarkStart w:id="436" w:name="_Toc28801"/>
            <w:bookmarkStart w:id="437" w:name="_Toc28964"/>
            <w:r>
              <w:rPr>
                <w:rFonts w:hint="eastAsia" w:asciiTheme="minorEastAsia" w:hAnsiTheme="minorEastAsia" w:eastAsiaTheme="minorEastAsia"/>
              </w:rPr>
              <w:t>3常规短周期树种</w:t>
            </w:r>
            <w:bookmarkEnd w:id="435"/>
            <w:bookmarkEnd w:id="436"/>
            <w:bookmarkEnd w:id="437"/>
          </w:p>
          <w:p>
            <w:pPr>
              <w:pStyle w:val="40"/>
              <w:rPr>
                <w:rFonts w:asciiTheme="minorEastAsia" w:hAnsiTheme="minorEastAsia" w:eastAsiaTheme="minorEastAsia"/>
                <w:szCs w:val="16"/>
              </w:rPr>
            </w:pPr>
          </w:p>
        </w:tc>
        <w:tc>
          <w:tcPr>
            <w:tcW w:w="198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hint="eastAsia" w:asciiTheme="minorEastAsia" w:hAnsiTheme="minorEastAsia" w:eastAsiaTheme="minorEastAsia"/>
              </w:rPr>
              <w:t>纯林为主</w:t>
            </w:r>
          </w:p>
        </w:tc>
        <w:tc>
          <w:tcPr>
            <w:tcW w:w="113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rPr>
            </w:pPr>
            <w:r>
              <w:rPr>
                <w:rFonts w:hint="eastAsia" w:asciiTheme="minorEastAsia" w:hAnsiTheme="minorEastAsia" w:eastAsiaTheme="minorEastAsia"/>
              </w:rPr>
              <w:t>皆伐作业法</w:t>
            </w:r>
          </w:p>
          <w:p>
            <w:pPr>
              <w:pStyle w:val="40"/>
              <w:rPr>
                <w:rFonts w:asciiTheme="minorEastAsia" w:hAnsiTheme="minorEastAsia" w:eastAsiaTheme="minorEastAsia"/>
                <w:szCs w:val="16"/>
              </w:rPr>
            </w:pPr>
          </w:p>
        </w:tc>
        <w:tc>
          <w:tcPr>
            <w:tcW w:w="1722"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asciiTheme="minorEastAsia" w:hAnsiTheme="minorEastAsia" w:eastAsiaTheme="minorEastAsia"/>
              </w:rPr>
              <w:t>整体低</w:t>
            </w:r>
          </w:p>
        </w:tc>
        <w:tc>
          <w:tcPr>
            <w:tcW w:w="3058" w:type="dxa"/>
            <w:vMerge w:val="continue"/>
          </w:tcPr>
          <w:p>
            <w:pPr>
              <w:pStyle w:val="258"/>
              <w:tabs>
                <w:tab w:val="center" w:pos="4201"/>
                <w:tab w:val="right" w:leader="dot" w:pos="9298"/>
              </w:tabs>
              <w:spacing w:before="156" w:after="156"/>
              <w:ind w:firstLine="420"/>
              <w:rPr>
                <w:rFonts w:asciiTheme="minorEastAsia" w:hAnsiTheme="minorEastAsia" w:eastAsiaTheme="minorEastAsia"/>
                <w:szCs w:val="16"/>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1576" w:type="dxa"/>
            <w:vAlign w:val="center"/>
          </w:tcPr>
          <w:p>
            <w:pPr>
              <w:pStyle w:val="260"/>
              <w:numPr>
                <w:ilvl w:val="0"/>
                <w:numId w:val="0"/>
              </w:numPr>
              <w:ind w:left="284"/>
              <w:jc w:val="both"/>
              <w:rPr>
                <w:rFonts w:asciiTheme="minorEastAsia" w:hAnsiTheme="minorEastAsia" w:eastAsiaTheme="minorEastAsia"/>
                <w:szCs w:val="16"/>
              </w:rPr>
            </w:pPr>
            <w:bookmarkStart w:id="438" w:name="_Toc32128"/>
            <w:bookmarkStart w:id="439" w:name="_Toc20647"/>
            <w:bookmarkStart w:id="440" w:name="_Toc9475"/>
            <w:r>
              <w:rPr>
                <w:rFonts w:hint="eastAsia" w:asciiTheme="minorEastAsia" w:hAnsiTheme="minorEastAsia" w:eastAsiaTheme="minorEastAsia"/>
                <w:lang w:val="en-US" w:eastAsia="zh-CN"/>
              </w:rPr>
              <w:t>4</w:t>
            </w:r>
            <w:r>
              <w:rPr>
                <w:rFonts w:hint="eastAsia" w:asciiTheme="minorEastAsia" w:hAnsiTheme="minorEastAsia" w:eastAsiaTheme="minorEastAsia"/>
              </w:rPr>
              <w:t>短周期人工林改培的长周期珍稀树种人工林</w:t>
            </w:r>
            <w:bookmarkEnd w:id="438"/>
            <w:bookmarkEnd w:id="439"/>
            <w:bookmarkEnd w:id="440"/>
          </w:p>
        </w:tc>
        <w:tc>
          <w:tcPr>
            <w:tcW w:w="198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hint="eastAsia" w:asciiTheme="minorEastAsia" w:hAnsiTheme="minorEastAsia" w:eastAsiaTheme="minorEastAsia"/>
              </w:rPr>
              <w:t>通过对现有短周期工业原料林改培，培育长周期珍稀树种用材林</w:t>
            </w:r>
          </w:p>
        </w:tc>
        <w:tc>
          <w:tcPr>
            <w:tcW w:w="113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hint="eastAsia" w:asciiTheme="minorEastAsia" w:hAnsiTheme="minorEastAsia" w:eastAsiaTheme="minorEastAsia"/>
              </w:rPr>
              <w:t>择伐</w:t>
            </w:r>
          </w:p>
        </w:tc>
        <w:tc>
          <w:tcPr>
            <w:tcW w:w="1722"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asciiTheme="minorEastAsia" w:hAnsiTheme="minorEastAsia" w:eastAsiaTheme="minorEastAsia"/>
              </w:rPr>
              <w:t>整体较高</w:t>
            </w:r>
          </w:p>
        </w:tc>
        <w:tc>
          <w:tcPr>
            <w:tcW w:w="3058" w:type="dxa"/>
            <w:vMerge w:val="continue"/>
          </w:tcPr>
          <w:p>
            <w:pPr>
              <w:pStyle w:val="258"/>
              <w:tabs>
                <w:tab w:val="center" w:pos="4201"/>
                <w:tab w:val="right" w:leader="dot" w:pos="9298"/>
              </w:tabs>
              <w:spacing w:before="156" w:after="156"/>
              <w:ind w:firstLine="420"/>
              <w:rPr>
                <w:rFonts w:asciiTheme="minorEastAsia" w:hAnsiTheme="minorEastAsia" w:eastAsiaTheme="minorEastAsia"/>
                <w:szCs w:val="16"/>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1576" w:type="dxa"/>
            <w:vAlign w:val="center"/>
          </w:tcPr>
          <w:p>
            <w:pPr>
              <w:pStyle w:val="260"/>
              <w:numPr>
                <w:ilvl w:val="0"/>
                <w:numId w:val="0"/>
              </w:numPr>
              <w:ind w:left="284"/>
              <w:jc w:val="both"/>
              <w:rPr>
                <w:rFonts w:asciiTheme="minorEastAsia" w:hAnsiTheme="minorEastAsia" w:eastAsiaTheme="minorEastAsia"/>
              </w:rPr>
            </w:pPr>
            <w:bookmarkStart w:id="441" w:name="_Toc6258"/>
            <w:bookmarkStart w:id="442" w:name="_Toc1515"/>
            <w:bookmarkStart w:id="443" w:name="_Toc9537"/>
            <w:r>
              <w:rPr>
                <w:rFonts w:hint="eastAsia" w:asciiTheme="minorEastAsia" w:hAnsiTheme="minorEastAsia" w:eastAsiaTheme="minorEastAsia"/>
              </w:rPr>
              <w:t>5竹林</w:t>
            </w:r>
            <w:bookmarkEnd w:id="441"/>
            <w:bookmarkEnd w:id="442"/>
            <w:bookmarkEnd w:id="443"/>
          </w:p>
          <w:p>
            <w:pPr>
              <w:pStyle w:val="40"/>
              <w:rPr>
                <w:rFonts w:asciiTheme="minorEastAsia" w:hAnsiTheme="minorEastAsia" w:eastAsiaTheme="minorEastAsia"/>
                <w:szCs w:val="16"/>
              </w:rPr>
            </w:pPr>
          </w:p>
        </w:tc>
        <w:tc>
          <w:tcPr>
            <w:tcW w:w="198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hint="eastAsia" w:asciiTheme="minorEastAsia" w:hAnsiTheme="minorEastAsia" w:eastAsiaTheme="minorEastAsia"/>
              </w:rPr>
              <w:t>纯林或竹阔混交林</w:t>
            </w:r>
          </w:p>
        </w:tc>
        <w:tc>
          <w:tcPr>
            <w:tcW w:w="1134"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rPr>
            </w:pPr>
            <w:r>
              <w:rPr>
                <w:rFonts w:hint="eastAsia" w:asciiTheme="minorEastAsia" w:hAnsiTheme="minorEastAsia" w:eastAsiaTheme="minorEastAsia"/>
              </w:rPr>
              <w:t>择伐</w:t>
            </w:r>
          </w:p>
          <w:p>
            <w:pPr>
              <w:pStyle w:val="40"/>
              <w:rPr>
                <w:rFonts w:asciiTheme="minorEastAsia" w:hAnsiTheme="minorEastAsia" w:eastAsiaTheme="minorEastAsia"/>
                <w:szCs w:val="16"/>
              </w:rPr>
            </w:pPr>
          </w:p>
        </w:tc>
        <w:tc>
          <w:tcPr>
            <w:tcW w:w="1722" w:type="dxa"/>
            <w:vAlign w:val="center"/>
          </w:tcPr>
          <w:p>
            <w:pPr>
              <w:pStyle w:val="258"/>
              <w:tabs>
                <w:tab w:val="center" w:pos="4201"/>
                <w:tab w:val="right" w:leader="dot" w:pos="9298"/>
              </w:tabs>
              <w:spacing w:before="156" w:after="156"/>
              <w:ind w:firstLine="0" w:firstLineChars="0"/>
              <w:rPr>
                <w:rFonts w:asciiTheme="minorEastAsia" w:hAnsiTheme="minorEastAsia" w:eastAsiaTheme="minorEastAsia"/>
                <w:szCs w:val="16"/>
              </w:rPr>
            </w:pPr>
            <w:r>
              <w:rPr>
                <w:rFonts w:asciiTheme="minorEastAsia" w:hAnsiTheme="minorEastAsia" w:eastAsiaTheme="minorEastAsia"/>
              </w:rPr>
              <w:t>整体较低</w:t>
            </w:r>
          </w:p>
        </w:tc>
        <w:tc>
          <w:tcPr>
            <w:tcW w:w="3058" w:type="dxa"/>
            <w:vMerge w:val="continue"/>
          </w:tcPr>
          <w:p>
            <w:pPr>
              <w:pStyle w:val="258"/>
              <w:tabs>
                <w:tab w:val="center" w:pos="4201"/>
                <w:tab w:val="right" w:leader="dot" w:pos="9298"/>
              </w:tabs>
              <w:spacing w:before="156" w:after="156"/>
              <w:ind w:firstLine="420"/>
              <w:rPr>
                <w:rFonts w:asciiTheme="minorEastAsia" w:hAnsiTheme="minorEastAsia" w:eastAsiaTheme="minorEastAsia"/>
                <w:szCs w:val="16"/>
              </w:rPr>
            </w:pPr>
          </w:p>
        </w:tc>
      </w:tr>
    </w:tbl>
    <w:p>
      <w:pPr>
        <w:rPr>
          <w:rFonts w:hint="eastAsia"/>
          <w:lang w:eastAsia="zh-CN"/>
        </w:rPr>
        <w:sectPr>
          <w:pgSz w:w="11907" w:h="16839"/>
          <w:pgMar w:top="1418" w:right="1134" w:bottom="1134" w:left="1418" w:header="1418" w:footer="1134" w:gutter="0"/>
          <w:pgNumType w:fmt="decimal"/>
          <w:cols w:space="425" w:num="1"/>
          <w:docGrid w:type="lines" w:linePitch="312" w:charSpace="0"/>
        </w:sectPr>
      </w:pPr>
    </w:p>
    <w:p>
      <w:pPr>
        <w:pStyle w:val="257"/>
      </w:pPr>
      <w:bookmarkStart w:id="444" w:name="标准参考文献"/>
      <w:bookmarkEnd w:id="444"/>
      <w:bookmarkStart w:id="445" w:name="_Toc4648"/>
      <w:bookmarkStart w:id="446" w:name="_Toc11856"/>
      <w:bookmarkStart w:id="447" w:name="_Toc148"/>
      <w:bookmarkStart w:id="448" w:name="_Toc7722"/>
      <w:bookmarkStart w:id="449" w:name="_Toc12120"/>
      <w:bookmarkStart w:id="450" w:name="_Toc167"/>
      <w:bookmarkStart w:id="451" w:name="_Toc2871"/>
      <w:bookmarkStart w:id="452" w:name="_Toc16653"/>
      <w:bookmarkStart w:id="453" w:name="_Toc20723"/>
      <w:bookmarkStart w:id="454" w:name="_Toc3331"/>
      <w:bookmarkStart w:id="455" w:name="_Toc14558"/>
      <w:r>
        <w:rPr>
          <w:rFonts w:hint="eastAsia"/>
        </w:rPr>
        <w:t>参  考  文  献</w:t>
      </w:r>
      <w:bookmarkEnd w:id="393"/>
      <w:bookmarkEnd w:id="394"/>
      <w:bookmarkEnd w:id="395"/>
      <w:bookmarkEnd w:id="445"/>
      <w:bookmarkEnd w:id="446"/>
      <w:bookmarkEnd w:id="447"/>
      <w:bookmarkEnd w:id="448"/>
      <w:bookmarkEnd w:id="449"/>
      <w:bookmarkEnd w:id="450"/>
      <w:bookmarkEnd w:id="451"/>
      <w:bookmarkEnd w:id="452"/>
      <w:bookmarkEnd w:id="453"/>
      <w:bookmarkEnd w:id="454"/>
      <w:bookmarkEnd w:id="455"/>
    </w:p>
    <w:p>
      <w:pPr>
        <w:pStyle w:val="524"/>
      </w:pPr>
      <w:r>
        <w:rPr>
          <w:rFonts w:hint="eastAsia"/>
        </w:rPr>
        <w:t>中国生物多样性保护战略与行动计划（2011-2030年）环境保护部，2010</w:t>
      </w:r>
    </w:p>
    <w:p>
      <w:pPr>
        <w:pStyle w:val="524"/>
      </w:pPr>
      <w:r>
        <w:rPr>
          <w:rFonts w:hint="eastAsia"/>
        </w:rPr>
        <w:t>全国森林经营规划（2016-2050）.</w:t>
      </w:r>
      <w:bookmarkStart w:id="456" w:name="_Hlk148089213"/>
      <w:r>
        <w:rPr>
          <w:rFonts w:hint="eastAsia"/>
        </w:rPr>
        <w:t xml:space="preserve">国家林业局. 2015. </w:t>
      </w:r>
      <w:bookmarkEnd w:id="456"/>
    </w:p>
    <w:p>
      <w:pPr>
        <w:pStyle w:val="524"/>
      </w:pPr>
      <w:r>
        <w:rPr>
          <w:rFonts w:hint="eastAsia"/>
        </w:rPr>
        <w:t>国家重点保护野生动物名录.国家林草局 农业农村部. 2021</w:t>
      </w:r>
    </w:p>
    <w:p>
      <w:pPr>
        <w:pStyle w:val="524"/>
      </w:pPr>
      <w:r>
        <w:rPr>
          <w:rFonts w:hint="eastAsia"/>
        </w:rPr>
        <w:t>有重要生态、科学、社会价值的陆生野生动物名录. 国家林草局 农业农村部.2023</w:t>
      </w:r>
    </w:p>
    <w:p>
      <w:pPr>
        <w:pStyle w:val="524"/>
      </w:pPr>
      <w:r>
        <w:rPr>
          <w:rFonts w:hint="eastAsia"/>
        </w:rPr>
        <w:t>中国主要栽培珍贵树种参考名录. 国家林业局. 2017</w:t>
      </w:r>
    </w:p>
    <w:p>
      <w:pPr>
        <w:pStyle w:val="524"/>
      </w:pPr>
      <w:r>
        <w:rPr>
          <w:rFonts w:hint="eastAsia"/>
        </w:rPr>
        <w:t>国家明令禁止使用的高毒农药.农业部等公告第1586号. 2011</w:t>
      </w:r>
    </w:p>
    <w:p>
      <w:pPr>
        <w:pStyle w:val="524"/>
      </w:pPr>
      <w:r>
        <w:rPr>
          <w:rFonts w:hint="eastAsia"/>
        </w:rPr>
        <w:t>中国森林可持续经营标准与指标（LY/T</w:t>
      </w:r>
      <w:r>
        <w:t xml:space="preserve"> </w:t>
      </w:r>
      <w:r>
        <w:rPr>
          <w:rFonts w:hint="eastAsia"/>
        </w:rPr>
        <w:t>1594）</w:t>
      </w:r>
      <w:r>
        <w:rPr>
          <w:rFonts w:hint="eastAsia"/>
          <w:lang w:val="en-US" w:eastAsia="zh-CN"/>
        </w:rPr>
        <w:t>.</w:t>
      </w:r>
      <w:r>
        <w:rPr>
          <w:rFonts w:hint="eastAsia"/>
        </w:rPr>
        <w:t>国家林业局. 20</w:t>
      </w:r>
      <w:r>
        <w:t>02</w:t>
      </w:r>
      <w:r>
        <w:rPr>
          <w:rFonts w:hint="eastAsia"/>
        </w:rPr>
        <w:t>.</w:t>
      </w:r>
    </w:p>
    <w:p>
      <w:pPr>
        <w:pStyle w:val="524"/>
      </w:pPr>
      <w:r>
        <w:rPr>
          <w:rFonts w:hint="eastAsia"/>
        </w:rPr>
        <w:t>森林资源规划设计调查技术规程</w:t>
      </w:r>
      <w:r>
        <w:rPr>
          <w:rFonts w:hint="eastAsia"/>
          <w:lang w:eastAsia="zh-CN"/>
        </w:rPr>
        <w:t>（</w:t>
      </w:r>
      <w:r>
        <w:rPr>
          <w:rFonts w:hint="eastAsia"/>
        </w:rPr>
        <w:t>GB/T 26424</w:t>
      </w:r>
      <w:r>
        <w:rPr>
          <w:rFonts w:hint="eastAsia"/>
          <w:lang w:val="en-US" w:eastAsia="zh-CN"/>
        </w:rPr>
        <w:t>).</w:t>
      </w:r>
      <w:r>
        <w:rPr>
          <w:rFonts w:hint="eastAsia"/>
        </w:rPr>
        <w:t>国家林业局. 20</w:t>
      </w:r>
      <w:r>
        <w:t>02</w:t>
      </w:r>
      <w:r>
        <w:rPr>
          <w:rFonts w:hint="eastAsia"/>
          <w:lang w:eastAsia="zh-CN"/>
        </w:rPr>
        <w:t>。</w:t>
      </w:r>
    </w:p>
    <w:p>
      <w:pPr>
        <w:pStyle w:val="524"/>
      </w:pPr>
      <w:r>
        <w:rPr>
          <w:rFonts w:hint="eastAsia"/>
        </w:rPr>
        <w:t>李果</w:t>
      </w:r>
      <w:r>
        <w:rPr>
          <w:rFonts w:hint="eastAsia"/>
          <w:lang w:eastAsia="zh-CN"/>
        </w:rPr>
        <w:t>，</w:t>
      </w:r>
      <w:r>
        <w:rPr>
          <w:rFonts w:hint="eastAsia"/>
        </w:rPr>
        <w:t>李俊生</w:t>
      </w:r>
      <w:r>
        <w:rPr>
          <w:rFonts w:hint="eastAsia"/>
          <w:lang w:eastAsia="zh-CN"/>
        </w:rPr>
        <w:t>，</w:t>
      </w:r>
      <w:r>
        <w:rPr>
          <w:rFonts w:hint="eastAsia"/>
        </w:rPr>
        <w:t>关潇. 生物多样性监测技术手册. 中国环境出版社. 2014</w:t>
      </w:r>
    </w:p>
    <w:p>
      <w:pPr>
        <w:pStyle w:val="524"/>
      </w:pPr>
      <w:r>
        <w:rPr>
          <w:rFonts w:hint="eastAsia"/>
        </w:rPr>
        <w:t>ITTO/IUCN Guidelines for the conservation and sustainable use of biodiversity in tropical timber production forest. ITTO Policy Development Series PS-17,2009</w:t>
      </w:r>
    </w:p>
    <w:p>
      <w:pPr>
        <w:pStyle w:val="524"/>
      </w:pPr>
      <w:r>
        <w:rPr>
          <w:rFonts w:hint="eastAsia"/>
        </w:rPr>
        <w:t>Guidelines on Biodiversity-Friendly Afforestation, Reforestation and Tree Planting. EC. Brussels, 17.3.2023</w:t>
      </w:r>
    </w:p>
    <w:p>
      <w:pPr>
        <w:pStyle w:val="524"/>
      </w:pPr>
      <w:r>
        <w:rPr>
          <w:rFonts w:hint="eastAsia"/>
        </w:rPr>
        <w:t>IN-DEPTH REVIEW OF THE EXPANDED PROGRAMME OF WORK ON FOREST BIOLOGICAL DIVERSITY, UNEP/CBD/SBSTTA/13/3.13 November 2007</w:t>
      </w:r>
    </w:p>
    <w:p>
      <w:pPr>
        <w:pStyle w:val="524"/>
      </w:pPr>
      <w:r>
        <w:rPr>
          <w:rFonts w:hint="eastAsia"/>
        </w:rPr>
        <w:t>Pan-European Criteria, Indicators and Operational Level Guidelines for Sustainable Forest Management, RESOLUTION L2, Third Ministerial Conference on the Protection of Forests in Europe, 2-4 June 1998, Lisbon/Portugal.</w:t>
      </w:r>
    </w:p>
    <w:sectPr>
      <w:pgSz w:w="11907" w:h="16839"/>
      <w:pgMar w:top="1418" w:right="1134" w:bottom="1134" w:left="1418" w:header="1418" w:footer="1134" w:gutter="0"/>
      <w:lnNumType w:countBy="0" w:restart="continuous"/>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Britannic Bold">
    <w:panose1 w:val="020B0903060703020204"/>
    <w:charset w:val="00"/>
    <w:family w:val="swiss"/>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spacing w:before="0"/>
      <w:ind w:right="360" w:firstLine="360"/>
      <w:rPr>
        <w:rStyle w:val="234"/>
      </w:rPr>
    </w:pPr>
  </w:p>
  <w:p>
    <w:pPr>
      <w:pStyle w:val="252"/>
      <w:spacing w:before="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1"/>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1"/>
      <w:spacing w:before="0"/>
      <w:ind w:right="360" w:firstLine="360"/>
      <w:rPr>
        <w:rStyle w:val="234"/>
      </w:rPr>
    </w:pPr>
  </w:p>
  <w:p>
    <w:pPr>
      <w:pStyle w:val="251"/>
      <w:spacing w:before="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rPr>
        <w:rFonts w:hint="eastAsia" w:eastAsia="宋体"/>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spacing w:before="0"/>
      <w:ind w:right="360" w:firstLine="360"/>
      <w:rPr>
        <w:rStyle w:val="234"/>
      </w:rPr>
    </w:pPr>
  </w:p>
  <w:p>
    <w:pPr>
      <w:pStyle w:val="252"/>
      <w:spacing w:before="0"/>
      <w:rPr>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Bdr>
        <w:between w:val="none" w:color="auto" w:sz="0" w:space="0"/>
      </w:pBdr>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2"/>
      <w:framePr w:wrap="around" w:vAnchor="text" w:hAnchor="margin" w:xAlign="outside" w:y="1"/>
      <w:rPr>
        <w:rStyle w:val="234"/>
      </w:rPr>
    </w:pPr>
    <w:r>
      <w:rPr>
        <w:rStyle w:val="234"/>
      </w:rPr>
      <w:fldChar w:fldCharType="begin"/>
    </w:r>
    <w:r>
      <w:rPr>
        <w:rStyle w:val="234"/>
      </w:rPr>
      <w:instrText xml:space="preserve"> PAGE </w:instrText>
    </w:r>
    <w:r>
      <w:rPr>
        <w:rStyle w:val="234"/>
      </w:rPr>
      <w:fldChar w:fldCharType="separate"/>
    </w:r>
    <w:r>
      <w:rPr>
        <w:rStyle w:val="234"/>
      </w:rPr>
      <w:t>1</w:t>
    </w:r>
    <w:r>
      <w:rPr>
        <w:rStyle w:val="234"/>
      </w:rPr>
      <w:fldChar w:fldCharType="end"/>
    </w:r>
  </w:p>
  <w:p>
    <w:pPr>
      <w:pStyle w:val="252"/>
      <w:spacing w:before="0"/>
      <w:ind w:right="360" w:firstLine="360"/>
      <w:rPr>
        <w:rStyle w:val="234"/>
      </w:rPr>
    </w:pPr>
  </w:p>
  <w:p>
    <w:pPr>
      <w:pStyle w:val="252"/>
      <w:spacing w:before="0"/>
      <w:rPr>
        <w:sz w:val="10"/>
        <w:szCs w:val="1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pPr>
    <w:r>
      <w:rPr>
        <w:rStyle w:val="234"/>
      </w:rPr>
      <w:fldChar w:fldCharType="begin"/>
    </w:r>
    <w:r>
      <w:rPr>
        <w:rStyle w:val="234"/>
      </w:rPr>
      <w:instrText xml:space="preserve"> PAGE </w:instrText>
    </w:r>
    <w:r>
      <w:rPr>
        <w:rStyle w:val="234"/>
      </w:rPr>
      <w:fldChar w:fldCharType="separate"/>
    </w:r>
    <w:r>
      <w:rPr>
        <w:rStyle w:val="234"/>
      </w:rPr>
      <w:t>I</w:t>
    </w:r>
    <w:r>
      <w:rPr>
        <w:rStyle w:val="234"/>
      </w:rPr>
      <w:fldChar w:fldCharType="end"/>
    </w:r>
  </w:p>
  <w:p>
    <w:pPr>
      <w:pStyle w:val="5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rPr>
        <w:rFonts w:hint="eastAsia"/>
      </w:rPr>
      <w:t>T/XXX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4"/>
    </w:pPr>
    <w:r>
      <w:rPr>
        <w:rFonts w:hint="eastAsia"/>
        <w:lang w:eastAsia="zh-CN"/>
      </w:rPr>
      <w:t>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5"/>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3"/>
    </w:pPr>
    <w:r>
      <w:rPr>
        <w:rFonts w:hint="eastAsia"/>
        <w:lang w:eastAsia="zh-CN"/>
      </w:rPr>
      <w:t>T/XXX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E53BE"/>
    <w:multiLevelType w:val="multilevel"/>
    <w:tmpl w:val="80FE53BE"/>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985F7683"/>
    <w:multiLevelType w:val="multilevel"/>
    <w:tmpl w:val="985F768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A22C7A4C"/>
    <w:multiLevelType w:val="multilevel"/>
    <w:tmpl w:val="A22C7A4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A295B17A"/>
    <w:multiLevelType w:val="multilevel"/>
    <w:tmpl w:val="A295B17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B1F4B69F"/>
    <w:multiLevelType w:val="multilevel"/>
    <w:tmpl w:val="B1F4B69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B552C0FF"/>
    <w:multiLevelType w:val="multilevel"/>
    <w:tmpl w:val="B552C0F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BEAFCA6D"/>
    <w:multiLevelType w:val="multilevel"/>
    <w:tmpl w:val="BEAFCA6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C7FF5509"/>
    <w:multiLevelType w:val="multilevel"/>
    <w:tmpl w:val="C7FF550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D2579EC3"/>
    <w:multiLevelType w:val="multilevel"/>
    <w:tmpl w:val="D2579EC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FECDF5E5"/>
    <w:multiLevelType w:val="multilevel"/>
    <w:tmpl w:val="FECDF5E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1">
    <w:nsid w:val="FFFFFF7D"/>
    <w:multiLevelType w:val="singleLevel"/>
    <w:tmpl w:val="FFFFFF7D"/>
    <w:lvl w:ilvl="0" w:tentative="0">
      <w:start w:val="1"/>
      <w:numFmt w:val="decimal"/>
      <w:pStyle w:val="51"/>
      <w:lvlText w:val="%1."/>
      <w:lvlJc w:val="left"/>
      <w:pPr>
        <w:tabs>
          <w:tab w:val="left" w:pos="1620"/>
        </w:tabs>
        <w:ind w:left="1620" w:leftChars="600" w:hanging="360" w:hangingChars="200"/>
      </w:pPr>
    </w:lvl>
  </w:abstractNum>
  <w:abstractNum w:abstractNumId="12">
    <w:nsid w:val="FFFFFF7E"/>
    <w:multiLevelType w:val="singleLevel"/>
    <w:tmpl w:val="FFFFFF7E"/>
    <w:lvl w:ilvl="0" w:tentative="0">
      <w:start w:val="1"/>
      <w:numFmt w:val="decimal"/>
      <w:pStyle w:val="42"/>
      <w:lvlText w:val="%1."/>
      <w:lvlJc w:val="left"/>
      <w:pPr>
        <w:tabs>
          <w:tab w:val="left" w:pos="1200"/>
        </w:tabs>
        <w:ind w:left="1200" w:leftChars="400" w:hanging="360" w:hangingChars="200"/>
      </w:pPr>
    </w:lvl>
  </w:abstractNum>
  <w:abstractNum w:abstractNumId="13">
    <w:nsid w:val="FFFFFF7F"/>
    <w:multiLevelType w:val="singleLevel"/>
    <w:tmpl w:val="FFFFFF7F"/>
    <w:lvl w:ilvl="0" w:tentative="0">
      <w:start w:val="1"/>
      <w:numFmt w:val="decimal"/>
      <w:pStyle w:val="20"/>
      <w:lvlText w:val="%1."/>
      <w:lvlJc w:val="left"/>
      <w:pPr>
        <w:tabs>
          <w:tab w:val="left" w:pos="780"/>
        </w:tabs>
        <w:ind w:left="780" w:leftChars="200" w:hanging="360" w:hangingChars="200"/>
      </w:pPr>
    </w:lvl>
  </w:abstractNum>
  <w:abstractNum w:abstractNumId="14">
    <w:nsid w:val="FFFFFF80"/>
    <w:multiLevelType w:val="singleLevel"/>
    <w:tmpl w:val="FFFFFF80"/>
    <w:lvl w:ilvl="0" w:tentative="0">
      <w:start w:val="1"/>
      <w:numFmt w:val="bullet"/>
      <w:pStyle w:val="50"/>
      <w:lvlText w:val=""/>
      <w:lvlJc w:val="left"/>
      <w:pPr>
        <w:tabs>
          <w:tab w:val="left" w:pos="2040"/>
        </w:tabs>
        <w:ind w:left="2040" w:leftChars="800" w:hanging="360" w:hangingChars="200"/>
      </w:pPr>
      <w:rPr>
        <w:rFonts w:hint="default" w:ascii="Wingdings" w:hAnsi="Wingdings"/>
      </w:rPr>
    </w:lvl>
  </w:abstractNum>
  <w:abstractNum w:abstractNumId="15">
    <w:nsid w:val="FFFFFF81"/>
    <w:multiLevelType w:val="singleLevel"/>
    <w:tmpl w:val="FFFFFF81"/>
    <w:lvl w:ilvl="0" w:tentative="0">
      <w:start w:val="1"/>
      <w:numFmt w:val="bullet"/>
      <w:pStyle w:val="23"/>
      <w:lvlText w:val=""/>
      <w:lvlJc w:val="left"/>
      <w:pPr>
        <w:tabs>
          <w:tab w:val="left" w:pos="1620"/>
        </w:tabs>
        <w:ind w:left="1620" w:leftChars="600" w:hanging="360" w:hangingChars="200"/>
      </w:pPr>
      <w:rPr>
        <w:rFonts w:hint="default" w:ascii="Wingdings" w:hAnsi="Wingdings"/>
      </w:rPr>
    </w:lvl>
  </w:abstractNum>
  <w:abstractNum w:abstractNumId="16">
    <w:nsid w:val="FFFFFF82"/>
    <w:multiLevelType w:val="singleLevel"/>
    <w:tmpl w:val="FFFFFF82"/>
    <w:lvl w:ilvl="0" w:tentative="0">
      <w:start w:val="1"/>
      <w:numFmt w:val="bullet"/>
      <w:pStyle w:val="39"/>
      <w:lvlText w:val=""/>
      <w:lvlJc w:val="left"/>
      <w:pPr>
        <w:tabs>
          <w:tab w:val="left" w:pos="1200"/>
        </w:tabs>
        <w:ind w:left="1200" w:leftChars="400" w:hanging="360" w:hangingChars="200"/>
      </w:pPr>
      <w:rPr>
        <w:rFonts w:hint="default" w:ascii="Wingdings" w:hAnsi="Wingdings"/>
      </w:rPr>
    </w:lvl>
  </w:abstractNum>
  <w:abstractNum w:abstractNumId="17">
    <w:nsid w:val="FFFFFF83"/>
    <w:multiLevelType w:val="singleLevel"/>
    <w:tmpl w:val="FFFFFF83"/>
    <w:lvl w:ilvl="0" w:tentative="0">
      <w:start w:val="1"/>
      <w:numFmt w:val="bullet"/>
      <w:pStyle w:val="46"/>
      <w:lvlText w:val=""/>
      <w:lvlJc w:val="left"/>
      <w:pPr>
        <w:tabs>
          <w:tab w:val="left" w:pos="780"/>
        </w:tabs>
        <w:ind w:left="780" w:leftChars="200" w:hanging="360" w:hangingChars="200"/>
      </w:pPr>
      <w:rPr>
        <w:rFonts w:hint="default" w:ascii="Wingdings" w:hAnsi="Wingdings"/>
      </w:rPr>
    </w:lvl>
  </w:abstractNum>
  <w:abstractNum w:abstractNumId="18">
    <w:nsid w:val="FFFFFF88"/>
    <w:multiLevelType w:val="singleLevel"/>
    <w:tmpl w:val="FFFFFF88"/>
    <w:lvl w:ilvl="0" w:tentative="0">
      <w:start w:val="1"/>
      <w:numFmt w:val="decimal"/>
      <w:pStyle w:val="26"/>
      <w:lvlText w:val="%1."/>
      <w:lvlJc w:val="left"/>
      <w:pPr>
        <w:tabs>
          <w:tab w:val="left" w:pos="360"/>
        </w:tabs>
        <w:ind w:left="360" w:hanging="360" w:hangingChars="200"/>
      </w:pPr>
    </w:lvl>
  </w:abstractNum>
  <w:abstractNum w:abstractNumId="19">
    <w:nsid w:val="FFFFFF89"/>
    <w:multiLevelType w:val="singleLevel"/>
    <w:tmpl w:val="FFFFFF89"/>
    <w:lvl w:ilvl="0" w:tentative="0">
      <w:start w:val="1"/>
      <w:numFmt w:val="bullet"/>
      <w:pStyle w:val="30"/>
      <w:lvlText w:val=""/>
      <w:lvlJc w:val="left"/>
      <w:pPr>
        <w:tabs>
          <w:tab w:val="left" w:pos="360"/>
        </w:tabs>
        <w:ind w:left="360" w:hanging="360" w:hangingChars="200"/>
      </w:pPr>
      <w:rPr>
        <w:rFonts w:hint="default" w:ascii="Wingdings" w:hAnsi="Wingdings"/>
      </w:rPr>
    </w:lvl>
  </w:abstractNum>
  <w:abstractNum w:abstractNumId="20">
    <w:nsid w:val="06108475"/>
    <w:multiLevelType w:val="multilevel"/>
    <w:tmpl w:val="0610847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063EEC7B"/>
    <w:multiLevelType w:val="multilevel"/>
    <w:tmpl w:val="063EEC7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079102AD"/>
    <w:multiLevelType w:val="multilevel"/>
    <w:tmpl w:val="079102AD"/>
    <w:lvl w:ilvl="0" w:tentative="0">
      <w:start w:val="1"/>
      <w:numFmt w:val="decimal"/>
      <w:pStyle w:val="304"/>
      <w:suff w:val="nothing"/>
      <w:lvlText w:val="注%1："/>
      <w:lvlJc w:val="left"/>
      <w:pPr>
        <w:ind w:left="811" w:hanging="448"/>
      </w:pPr>
      <w:rPr>
        <w:rFonts w:ascii="黑体" w:hAnsi="黑体" w:eastAsia="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3">
    <w:nsid w:val="07ED3FEA"/>
    <w:multiLevelType w:val="multilevel"/>
    <w:tmpl w:val="07ED3FEA"/>
    <w:lvl w:ilvl="0" w:tentative="0">
      <w:start w:val="1"/>
      <w:numFmt w:val="none"/>
      <w:lvlText w:val="%1"/>
      <w:lvlJc w:val="left"/>
      <w:pPr>
        <w:ind w:left="425" w:hanging="425"/>
      </w:pPr>
      <w:rPr>
        <w:rFonts w:hint="eastAsia"/>
      </w:rPr>
    </w:lvl>
    <w:lvl w:ilvl="1" w:tentative="0">
      <w:start w:val="1"/>
      <w:numFmt w:val="decimal"/>
      <w:pStyle w:val="519"/>
      <w:suff w:val="nothing"/>
      <w:lvlText w:val="%10.%2 "/>
      <w:lvlJc w:val="left"/>
      <w:pPr>
        <w:ind w:left="0" w:firstLine="0"/>
      </w:pPr>
      <w:rPr>
        <w:rFonts w:hint="eastAsia" w:ascii="黑体" w:eastAsia="黑体" w:hAnsiTheme="minorHAnsi"/>
        <w:b w:val="0"/>
        <w:i w:val="0"/>
        <w:sz w:val="21"/>
      </w:rPr>
    </w:lvl>
    <w:lvl w:ilvl="2" w:tentative="0">
      <w:start w:val="1"/>
      <w:numFmt w:val="decimal"/>
      <w:pStyle w:val="511"/>
      <w:suff w:val="nothing"/>
      <w:lvlText w:val="%10.%2.%3 "/>
      <w:lvlJc w:val="left"/>
      <w:pPr>
        <w:ind w:left="0" w:firstLine="0"/>
      </w:pPr>
      <w:rPr>
        <w:rFonts w:hint="eastAsia" w:ascii="黑体" w:eastAsia="黑体" w:hAnsiTheme="minorHAnsi"/>
        <w:b w:val="0"/>
        <w:i w:val="0"/>
        <w:sz w:val="21"/>
      </w:rPr>
    </w:lvl>
    <w:lvl w:ilvl="3" w:tentative="0">
      <w:start w:val="1"/>
      <w:numFmt w:val="decimal"/>
      <w:pStyle w:val="513"/>
      <w:suff w:val="nothing"/>
      <w:lvlText w:val="%10.%2.%3.%4 "/>
      <w:lvlJc w:val="left"/>
      <w:pPr>
        <w:ind w:left="0" w:firstLine="0"/>
      </w:pPr>
      <w:rPr>
        <w:rFonts w:hint="eastAsia" w:ascii="黑体" w:eastAsia="黑体" w:hAnsiTheme="minorHAnsi"/>
        <w:b w:val="0"/>
        <w:i w:val="0"/>
        <w:sz w:val="21"/>
      </w:rPr>
    </w:lvl>
    <w:lvl w:ilvl="4" w:tentative="0">
      <w:start w:val="1"/>
      <w:numFmt w:val="decimal"/>
      <w:pStyle w:val="515"/>
      <w:suff w:val="nothing"/>
      <w:lvlText w:val="%10.%2.%3.%4.%5 "/>
      <w:lvlJc w:val="left"/>
      <w:pPr>
        <w:ind w:left="0" w:firstLine="0"/>
      </w:pPr>
      <w:rPr>
        <w:rFonts w:hint="eastAsia" w:ascii="黑体" w:eastAsia="黑体" w:hAnsiTheme="minorHAnsi"/>
        <w:b w:val="0"/>
        <w:i w:val="0"/>
        <w:sz w:val="21"/>
      </w:rPr>
    </w:lvl>
    <w:lvl w:ilvl="5" w:tentative="0">
      <w:start w:val="1"/>
      <w:numFmt w:val="decimal"/>
      <w:pStyle w:val="51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301"/>
      <w:suff w:val="nothing"/>
      <w:lvlText w:val="表%2　"/>
      <w:lvlJc w:val="left"/>
      <w:pPr>
        <w:ind w:left="357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316"/>
      <w:suff w:val="nothing"/>
      <w:lvlText w:val="%1表%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25">
    <w:nsid w:val="0AE367E9"/>
    <w:multiLevelType w:val="multilevel"/>
    <w:tmpl w:val="0AE367E9"/>
    <w:lvl w:ilvl="0" w:tentative="0">
      <w:start w:val="1"/>
      <w:numFmt w:val="none"/>
      <w:pStyle w:val="29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6">
    <w:nsid w:val="0B823C99"/>
    <w:multiLevelType w:val="multilevel"/>
    <w:tmpl w:val="0B823C9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0D46713A"/>
    <w:multiLevelType w:val="multilevel"/>
    <w:tmpl w:val="0D46713A"/>
    <w:lvl w:ilvl="0" w:tentative="0">
      <w:start w:val="1"/>
      <w:numFmt w:val="bullet"/>
      <w:pStyle w:val="325"/>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28">
    <w:nsid w:val="189961CA"/>
    <w:multiLevelType w:val="multilevel"/>
    <w:tmpl w:val="189961C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1FC91163"/>
    <w:multiLevelType w:val="multilevel"/>
    <w:tmpl w:val="1FC91163"/>
    <w:lvl w:ilvl="0" w:tentative="0">
      <w:start w:val="1"/>
      <w:numFmt w:val="decimal"/>
      <w:pStyle w:val="2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61"/>
      <w:suff w:val="nothing"/>
      <w:lvlText w:val="%1.%2.%3　"/>
      <w:lvlJc w:val="left"/>
      <w:pPr>
        <w:ind w:left="0" w:firstLine="0"/>
      </w:pPr>
      <w:rPr>
        <w:rFonts w:hint="eastAsia" w:ascii="黑体" w:hAnsi="Times New Roman" w:eastAsia="黑体"/>
        <w:b w:val="0"/>
        <w:i w:val="0"/>
        <w:sz w:val="21"/>
      </w:rPr>
    </w:lvl>
    <w:lvl w:ilvl="3" w:tentative="0">
      <w:start w:val="1"/>
      <w:numFmt w:val="decimal"/>
      <w:pStyle w:val="290"/>
      <w:suff w:val="nothing"/>
      <w:lvlText w:val="%1.%2.%3.%4　"/>
      <w:lvlJc w:val="left"/>
      <w:pPr>
        <w:ind w:left="0" w:firstLine="0"/>
      </w:pPr>
      <w:rPr>
        <w:rFonts w:hint="eastAsia" w:ascii="黑体" w:hAnsi="Times New Roman" w:eastAsia="黑体"/>
        <w:b w:val="0"/>
        <w:i w:val="0"/>
        <w:sz w:val="21"/>
      </w:rPr>
    </w:lvl>
    <w:lvl w:ilvl="4" w:tentative="0">
      <w:start w:val="1"/>
      <w:numFmt w:val="decimal"/>
      <w:pStyle w:val="295"/>
      <w:suff w:val="nothing"/>
      <w:lvlText w:val="%1.%2.%3.%4.%5　"/>
      <w:lvlJc w:val="left"/>
      <w:pPr>
        <w:ind w:left="0" w:firstLine="0"/>
      </w:pPr>
      <w:rPr>
        <w:rFonts w:hint="eastAsia" w:ascii="黑体" w:hAnsi="Times New Roman" w:eastAsia="黑体"/>
        <w:b w:val="0"/>
        <w:i w:val="0"/>
        <w:sz w:val="21"/>
      </w:rPr>
    </w:lvl>
    <w:lvl w:ilvl="5" w:tentative="0">
      <w:start w:val="1"/>
      <w:numFmt w:val="decimal"/>
      <w:pStyle w:val="30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2A8F7113"/>
    <w:multiLevelType w:val="multilevel"/>
    <w:tmpl w:val="2A8F7113"/>
    <w:lvl w:ilvl="0" w:tentative="0">
      <w:start w:val="1"/>
      <w:numFmt w:val="upperLetter"/>
      <w:pStyle w:val="348"/>
      <w:suff w:val="space"/>
      <w:lvlText w:val="%1"/>
      <w:lvlJc w:val="left"/>
      <w:pPr>
        <w:ind w:left="0" w:firstLine="0"/>
      </w:pPr>
      <w:rPr>
        <w:rFonts w:hint="eastAsia"/>
      </w:rPr>
    </w:lvl>
    <w:lvl w:ilvl="1" w:tentative="0">
      <w:start w:val="1"/>
      <w:numFmt w:val="decimal"/>
      <w:pStyle w:val="281"/>
      <w:suff w:val="nothing"/>
      <w:lvlText w:val="图%1.%2　"/>
      <w:lvlJc w:val="left"/>
      <w:pPr>
        <w:ind w:left="0" w:firstLine="0"/>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1">
    <w:nsid w:val="2D1D2B55"/>
    <w:multiLevelType w:val="multilevel"/>
    <w:tmpl w:val="2D1D2B5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2">
    <w:nsid w:val="32F04FB2"/>
    <w:multiLevelType w:val="multilevel"/>
    <w:tmpl w:val="32F04FB2"/>
    <w:lvl w:ilvl="0" w:tentative="0">
      <w:start w:val="1"/>
      <w:numFmt w:val="lowerLetter"/>
      <w:pStyle w:val="52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3">
    <w:nsid w:val="34431F99"/>
    <w:multiLevelType w:val="multilevel"/>
    <w:tmpl w:val="34431F99"/>
    <w:lvl w:ilvl="0" w:tentative="0">
      <w:start w:val="1"/>
      <w:numFmt w:val="upperLetter"/>
      <w:pStyle w:val="509"/>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0"/>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3855F9DB"/>
    <w:multiLevelType w:val="multilevel"/>
    <w:tmpl w:val="3855F9D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5">
    <w:nsid w:val="476A4353"/>
    <w:multiLevelType w:val="multilevel"/>
    <w:tmpl w:val="476A435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6">
    <w:nsid w:val="4B733A5F"/>
    <w:multiLevelType w:val="multilevel"/>
    <w:tmpl w:val="4B733A5F"/>
    <w:lvl w:ilvl="0" w:tentative="0">
      <w:start w:val="1"/>
      <w:numFmt w:val="decimal"/>
      <w:pStyle w:val="30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7">
    <w:nsid w:val="55E02EF4"/>
    <w:multiLevelType w:val="multilevel"/>
    <w:tmpl w:val="55E02EF4"/>
    <w:lvl w:ilvl="0" w:tentative="0">
      <w:start w:val="1"/>
      <w:numFmt w:val="decimal"/>
      <w:pStyle w:val="302"/>
      <w:lvlText w:val="图%1"/>
      <w:lvlJc w:val="left"/>
      <w:pPr>
        <w:tabs>
          <w:tab w:val="left" w:pos="510"/>
        </w:tabs>
        <w:ind w:left="0" w:firstLine="0"/>
      </w:pPr>
      <w:rPr>
        <w:rFonts w:hint="eastAsia" w:ascii="黑体" w:eastAsia="黑体"/>
        <w:b w:val="0"/>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56B4029F"/>
    <w:multiLevelType w:val="multilevel"/>
    <w:tmpl w:val="56B4029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9">
    <w:nsid w:val="59641F7A"/>
    <w:multiLevelType w:val="multilevel"/>
    <w:tmpl w:val="59641F7A"/>
    <w:lvl w:ilvl="0" w:tentative="0">
      <w:start w:val="1"/>
      <w:numFmt w:val="decimal"/>
      <w:pStyle w:val="524"/>
      <w:suff w:val="nothing"/>
      <w:lvlText w:val="[%1] "/>
      <w:lvlJc w:val="left"/>
      <w:pPr>
        <w:ind w:left="0" w:firstLine="0"/>
      </w:pPr>
      <w:rPr>
        <w:rFonts w:hint="eastAsia" w:asci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B7E3733"/>
    <w:multiLevelType w:val="multilevel"/>
    <w:tmpl w:val="5B7E3733"/>
    <w:lvl w:ilvl="0" w:tentative="0">
      <w:start w:val="1"/>
      <w:numFmt w:val="decimal"/>
      <w:pStyle w:val="29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41">
    <w:nsid w:val="60B55DC2"/>
    <w:multiLevelType w:val="multilevel"/>
    <w:tmpl w:val="60B55DC2"/>
    <w:lvl w:ilvl="0" w:tentative="0">
      <w:start w:val="1"/>
      <w:numFmt w:val="upperLetter"/>
      <w:pStyle w:val="347"/>
      <w:lvlText w:val="%1"/>
      <w:lvlJc w:val="left"/>
      <w:pPr>
        <w:tabs>
          <w:tab w:val="left" w:pos="0"/>
        </w:tabs>
        <w:ind w:left="0" w:firstLine="0"/>
      </w:pPr>
      <w:rPr>
        <w:rFonts w:hint="eastAsia"/>
      </w:rPr>
    </w:lvl>
    <w:lvl w:ilvl="1" w:tentative="0">
      <w:start w:val="1"/>
      <w:numFmt w:val="decimal"/>
      <w:pStyle w:val="27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317"/>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2">
    <w:nsid w:val="657D3FBC"/>
    <w:multiLevelType w:val="multilevel"/>
    <w:tmpl w:val="657D3FBC"/>
    <w:lvl w:ilvl="0" w:tentative="0">
      <w:start w:val="1"/>
      <w:numFmt w:val="upperLetter"/>
      <w:pStyle w:val="27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77"/>
      <w:suff w:val="nothing"/>
      <w:lvlText w:val="%1.%2.%3　"/>
      <w:lvlJc w:val="left"/>
      <w:pPr>
        <w:ind w:left="0" w:firstLine="0"/>
      </w:pPr>
      <w:rPr>
        <w:rFonts w:hint="eastAsia" w:ascii="黑体" w:hAnsi="Times New Roman" w:eastAsia="黑体"/>
        <w:b w:val="0"/>
        <w:i w:val="0"/>
        <w:sz w:val="21"/>
      </w:rPr>
    </w:lvl>
    <w:lvl w:ilvl="3" w:tentative="0">
      <w:start w:val="1"/>
      <w:numFmt w:val="decimal"/>
      <w:pStyle w:val="278"/>
      <w:suff w:val="nothing"/>
      <w:lvlText w:val="%1.%2.%3.%4　"/>
      <w:lvlJc w:val="left"/>
      <w:pPr>
        <w:ind w:left="0" w:firstLine="0"/>
      </w:pPr>
      <w:rPr>
        <w:rFonts w:hint="eastAsia" w:ascii="黑体" w:hAnsi="Times New Roman" w:eastAsia="黑体"/>
        <w:b w:val="0"/>
        <w:i w:val="0"/>
        <w:sz w:val="21"/>
      </w:rPr>
    </w:lvl>
    <w:lvl w:ilvl="4" w:tentative="0">
      <w:start w:val="1"/>
      <w:numFmt w:val="decimal"/>
      <w:pStyle w:val="279"/>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ascii="黑体" w:hAnsi="黑体" w:eastAsia="黑体" w:cs="Times New Roman"/>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pStyle w:val="2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3">
    <w:nsid w:val="694BE91C"/>
    <w:multiLevelType w:val="multilevel"/>
    <w:tmpl w:val="694BE91C"/>
    <w:lvl w:ilvl="0" w:tentative="0">
      <w:start w:val="1"/>
      <w:numFmt w:val="lowerLetter"/>
      <w:pStyle w:val="30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9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4">
    <w:nsid w:val="6CEA2025"/>
    <w:multiLevelType w:val="multilevel"/>
    <w:tmpl w:val="6CEA2025"/>
    <w:lvl w:ilvl="0" w:tentative="0">
      <w:start w:val="1"/>
      <w:numFmt w:val="none"/>
      <w:pStyle w:val="521"/>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5">
    <w:nsid w:val="6DBF04F4"/>
    <w:multiLevelType w:val="multilevel"/>
    <w:tmpl w:val="6DBF04F4"/>
    <w:lvl w:ilvl="0" w:tentative="0">
      <w:start w:val="1"/>
      <w:numFmt w:val="none"/>
      <w:pStyle w:val="30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6">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307"/>
      <w:suff w:val="nothing"/>
      <w:lvlText w:val="%1%2 "/>
      <w:lvlJc w:val="left"/>
      <w:pPr>
        <w:ind w:left="0" w:firstLine="0"/>
      </w:pPr>
      <w:rPr>
        <w:rFonts w:hint="eastAsia" w:ascii="黑体" w:hAnsi="Times New Roman" w:eastAsia="黑体"/>
        <w:b/>
        <w:i w:val="0"/>
        <w:sz w:val="28"/>
      </w:rPr>
    </w:lvl>
    <w:lvl w:ilvl="2" w:tentative="0">
      <w:start w:val="1"/>
      <w:numFmt w:val="decimal"/>
      <w:pStyle w:val="308"/>
      <w:suff w:val="nothing"/>
      <w:lvlText w:val="%1%2.%3　"/>
      <w:lvlJc w:val="left"/>
      <w:pPr>
        <w:ind w:left="0" w:firstLine="0"/>
      </w:pPr>
      <w:rPr>
        <w:rFonts w:hint="eastAsia" w:ascii="黑体" w:hAnsi="Times New Roman" w:eastAsia="黑体"/>
        <w:b/>
        <w:i w:val="0"/>
        <w:sz w:val="21"/>
      </w:rPr>
    </w:lvl>
    <w:lvl w:ilvl="3" w:tentative="0">
      <w:start w:val="1"/>
      <w:numFmt w:val="decimal"/>
      <w:pStyle w:val="309"/>
      <w:suff w:val="nothing"/>
      <w:lvlText w:val="%1%2.%3.%4　"/>
      <w:lvlJc w:val="left"/>
      <w:pPr>
        <w:ind w:left="0" w:firstLine="0"/>
      </w:pPr>
      <w:rPr>
        <w:rFonts w:hint="eastAsia" w:ascii="黑体" w:hAnsi="Times New Roman" w:eastAsia="黑体"/>
        <w:b/>
        <w:i w:val="0"/>
        <w:sz w:val="21"/>
      </w:rPr>
    </w:lvl>
    <w:lvl w:ilvl="4" w:tentative="0">
      <w:start w:val="1"/>
      <w:numFmt w:val="decimal"/>
      <w:pStyle w:val="310"/>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311"/>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312"/>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314"/>
      <w:lvlText w:val="    %1%8"/>
      <w:lvlJc w:val="left"/>
      <w:pPr>
        <w:tabs>
          <w:tab w:val="left" w:pos="720"/>
        </w:tabs>
        <w:ind w:left="0" w:firstLine="0"/>
      </w:pPr>
      <w:rPr>
        <w:rFonts w:hint="eastAsia" w:ascii="黑体" w:eastAsia="黑体"/>
        <w:b/>
        <w:i w:val="0"/>
        <w:sz w:val="21"/>
      </w:rPr>
    </w:lvl>
    <w:lvl w:ilvl="8" w:tentative="0">
      <w:start w:val="1"/>
      <w:numFmt w:val="decimal"/>
      <w:lvlRestart w:val="2"/>
      <w:pStyle w:val="313"/>
      <w:lvlText w:val="%2.0.%9"/>
      <w:lvlJc w:val="left"/>
      <w:pPr>
        <w:tabs>
          <w:tab w:val="left" w:pos="720"/>
        </w:tabs>
        <w:ind w:left="0" w:firstLine="0"/>
      </w:pPr>
      <w:rPr>
        <w:rFonts w:hint="eastAsia" w:ascii="黑体" w:hAnsi="华文细黑" w:eastAsia="黑体"/>
        <w:b/>
        <w:i w:val="0"/>
        <w:sz w:val="21"/>
      </w:rPr>
    </w:lvl>
  </w:abstractNum>
  <w:abstractNum w:abstractNumId="47">
    <w:nsid w:val="76933334"/>
    <w:multiLevelType w:val="multilevel"/>
    <w:tmpl w:val="76933334"/>
    <w:lvl w:ilvl="0" w:tentative="0">
      <w:start w:val="1"/>
      <w:numFmt w:val="none"/>
      <w:pStyle w:val="28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3"/>
  </w:num>
  <w:num w:numId="2">
    <w:abstractNumId w:val="15"/>
  </w:num>
  <w:num w:numId="3">
    <w:abstractNumId w:val="18"/>
  </w:num>
  <w:num w:numId="4">
    <w:abstractNumId w:val="19"/>
  </w:num>
  <w:num w:numId="5">
    <w:abstractNumId w:val="16"/>
  </w:num>
  <w:num w:numId="6">
    <w:abstractNumId w:val="12"/>
  </w:num>
  <w:num w:numId="7">
    <w:abstractNumId w:val="17"/>
  </w:num>
  <w:num w:numId="8">
    <w:abstractNumId w:val="14"/>
  </w:num>
  <w:num w:numId="9">
    <w:abstractNumId w:val="11"/>
  </w:num>
  <w:num w:numId="10">
    <w:abstractNumId w:val="10"/>
  </w:num>
  <w:num w:numId="11">
    <w:abstractNumId w:val="29"/>
  </w:num>
  <w:num w:numId="12">
    <w:abstractNumId w:val="42"/>
  </w:num>
  <w:num w:numId="13">
    <w:abstractNumId w:val="41"/>
  </w:num>
  <w:num w:numId="14">
    <w:abstractNumId w:val="30"/>
  </w:num>
  <w:num w:numId="15">
    <w:abstractNumId w:val="47"/>
  </w:num>
  <w:num w:numId="16">
    <w:abstractNumId w:val="25"/>
  </w:num>
  <w:num w:numId="17">
    <w:abstractNumId w:val="43"/>
  </w:num>
  <w:num w:numId="18">
    <w:abstractNumId w:val="40"/>
  </w:num>
  <w:num w:numId="19">
    <w:abstractNumId w:val="24"/>
  </w:num>
  <w:num w:numId="20">
    <w:abstractNumId w:val="37"/>
  </w:num>
  <w:num w:numId="21">
    <w:abstractNumId w:val="45"/>
  </w:num>
  <w:num w:numId="22">
    <w:abstractNumId w:val="22"/>
  </w:num>
  <w:num w:numId="23">
    <w:abstractNumId w:val="36"/>
  </w:num>
  <w:num w:numId="24">
    <w:abstractNumId w:val="46"/>
  </w:num>
  <w:num w:numId="25">
    <w:abstractNumId w:val="27"/>
  </w:num>
  <w:num w:numId="26">
    <w:abstractNumId w:val="33"/>
  </w:num>
  <w:num w:numId="27">
    <w:abstractNumId w:val="23"/>
  </w:num>
  <w:num w:numId="28">
    <w:abstractNumId w:val="44"/>
  </w:num>
  <w:num w:numId="29">
    <w:abstractNumId w:val="39"/>
  </w:num>
  <w:num w:numId="30">
    <w:abstractNumId w:val="3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8"/>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mirrorMargins w:val="1"/>
  <w:bordersDoNotSurroundHeader w:val="1"/>
  <w:bordersDoNotSurroundFooter w:val="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formatting="1" w:enforcement="0"/>
  <w:defaultTabStop w:val="210"/>
  <w:evenAndOddHeaders w:val="1"/>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kMDI1N2MxZGRmNGEwNjBiMmJmNmI2MzQzMmRjMjAifQ=="/>
  </w:docVars>
  <w:rsids>
    <w:rsidRoot w:val="1ADA2555"/>
    <w:rsid w:val="00006548"/>
    <w:rsid w:val="00027BD3"/>
    <w:rsid w:val="00031EEE"/>
    <w:rsid w:val="00036B39"/>
    <w:rsid w:val="000372EA"/>
    <w:rsid w:val="00040BBF"/>
    <w:rsid w:val="00043421"/>
    <w:rsid w:val="00050E91"/>
    <w:rsid w:val="00053FB5"/>
    <w:rsid w:val="00075DD9"/>
    <w:rsid w:val="00076F59"/>
    <w:rsid w:val="00083CA6"/>
    <w:rsid w:val="0009271F"/>
    <w:rsid w:val="0009648F"/>
    <w:rsid w:val="000A23AE"/>
    <w:rsid w:val="000A568D"/>
    <w:rsid w:val="000A6E5F"/>
    <w:rsid w:val="000A72F3"/>
    <w:rsid w:val="000B6ECB"/>
    <w:rsid w:val="000C21DC"/>
    <w:rsid w:val="000C2EFF"/>
    <w:rsid w:val="000D2D03"/>
    <w:rsid w:val="000E2B29"/>
    <w:rsid w:val="000E7B1D"/>
    <w:rsid w:val="000F1341"/>
    <w:rsid w:val="001138A4"/>
    <w:rsid w:val="00123BF9"/>
    <w:rsid w:val="00127602"/>
    <w:rsid w:val="00144633"/>
    <w:rsid w:val="001517CF"/>
    <w:rsid w:val="00164C6D"/>
    <w:rsid w:val="00170B1F"/>
    <w:rsid w:val="00172236"/>
    <w:rsid w:val="001748CC"/>
    <w:rsid w:val="0017737E"/>
    <w:rsid w:val="001830DE"/>
    <w:rsid w:val="001A5BF9"/>
    <w:rsid w:val="001B0DE6"/>
    <w:rsid w:val="001C2054"/>
    <w:rsid w:val="001D5AA4"/>
    <w:rsid w:val="001D71BA"/>
    <w:rsid w:val="001E5A95"/>
    <w:rsid w:val="001F0E09"/>
    <w:rsid w:val="001F724D"/>
    <w:rsid w:val="00216264"/>
    <w:rsid w:val="00227E52"/>
    <w:rsid w:val="00230B70"/>
    <w:rsid w:val="002310FD"/>
    <w:rsid w:val="00235CB0"/>
    <w:rsid w:val="00245A17"/>
    <w:rsid w:val="00247E6D"/>
    <w:rsid w:val="00267674"/>
    <w:rsid w:val="00277D91"/>
    <w:rsid w:val="00281C39"/>
    <w:rsid w:val="00282FBE"/>
    <w:rsid w:val="00287FD8"/>
    <w:rsid w:val="00290905"/>
    <w:rsid w:val="002917C0"/>
    <w:rsid w:val="002A3BE2"/>
    <w:rsid w:val="002A4DD0"/>
    <w:rsid w:val="002A6433"/>
    <w:rsid w:val="002A6B18"/>
    <w:rsid w:val="002B778D"/>
    <w:rsid w:val="002C6C4A"/>
    <w:rsid w:val="002E08C1"/>
    <w:rsid w:val="002E574C"/>
    <w:rsid w:val="002E5F3F"/>
    <w:rsid w:val="002F1862"/>
    <w:rsid w:val="00303CA5"/>
    <w:rsid w:val="00316CBA"/>
    <w:rsid w:val="00324802"/>
    <w:rsid w:val="00337CA1"/>
    <w:rsid w:val="00366B99"/>
    <w:rsid w:val="00397925"/>
    <w:rsid w:val="003A4F7B"/>
    <w:rsid w:val="003B65E2"/>
    <w:rsid w:val="003C5C82"/>
    <w:rsid w:val="003D636C"/>
    <w:rsid w:val="003E7CE2"/>
    <w:rsid w:val="003F2DA8"/>
    <w:rsid w:val="003F603C"/>
    <w:rsid w:val="003F764E"/>
    <w:rsid w:val="00405B77"/>
    <w:rsid w:val="00406CC1"/>
    <w:rsid w:val="00407D23"/>
    <w:rsid w:val="0041207A"/>
    <w:rsid w:val="00422DC8"/>
    <w:rsid w:val="00436ECC"/>
    <w:rsid w:val="004414E6"/>
    <w:rsid w:val="00447DDB"/>
    <w:rsid w:val="004548A9"/>
    <w:rsid w:val="0046160C"/>
    <w:rsid w:val="004619AC"/>
    <w:rsid w:val="00463A10"/>
    <w:rsid w:val="00465B7B"/>
    <w:rsid w:val="00466FF2"/>
    <w:rsid w:val="00467339"/>
    <w:rsid w:val="004826C9"/>
    <w:rsid w:val="0048668C"/>
    <w:rsid w:val="00490088"/>
    <w:rsid w:val="004A3243"/>
    <w:rsid w:val="004C20CD"/>
    <w:rsid w:val="004D0182"/>
    <w:rsid w:val="004D5BF2"/>
    <w:rsid w:val="0050545B"/>
    <w:rsid w:val="005134E3"/>
    <w:rsid w:val="00515AC9"/>
    <w:rsid w:val="005175BF"/>
    <w:rsid w:val="00517D40"/>
    <w:rsid w:val="00520DEA"/>
    <w:rsid w:val="00521E61"/>
    <w:rsid w:val="005272AE"/>
    <w:rsid w:val="005322CC"/>
    <w:rsid w:val="00532D32"/>
    <w:rsid w:val="0053303D"/>
    <w:rsid w:val="00534928"/>
    <w:rsid w:val="00546260"/>
    <w:rsid w:val="00552B49"/>
    <w:rsid w:val="00562526"/>
    <w:rsid w:val="00573966"/>
    <w:rsid w:val="00573CAA"/>
    <w:rsid w:val="00596BBE"/>
    <w:rsid w:val="005A2B55"/>
    <w:rsid w:val="005A35D5"/>
    <w:rsid w:val="005A406C"/>
    <w:rsid w:val="005C19E3"/>
    <w:rsid w:val="005D203A"/>
    <w:rsid w:val="005D5966"/>
    <w:rsid w:val="00601445"/>
    <w:rsid w:val="0060212C"/>
    <w:rsid w:val="00603182"/>
    <w:rsid w:val="00611BD0"/>
    <w:rsid w:val="0061695B"/>
    <w:rsid w:val="006209B8"/>
    <w:rsid w:val="0062151E"/>
    <w:rsid w:val="00630366"/>
    <w:rsid w:val="00630EC5"/>
    <w:rsid w:val="0065094C"/>
    <w:rsid w:val="00674639"/>
    <w:rsid w:val="00677E34"/>
    <w:rsid w:val="00681844"/>
    <w:rsid w:val="006A01D7"/>
    <w:rsid w:val="006B643E"/>
    <w:rsid w:val="006D12A2"/>
    <w:rsid w:val="006D6D2B"/>
    <w:rsid w:val="006E740A"/>
    <w:rsid w:val="006E7E4F"/>
    <w:rsid w:val="006F1FF9"/>
    <w:rsid w:val="006F20D7"/>
    <w:rsid w:val="006F74D1"/>
    <w:rsid w:val="007031B6"/>
    <w:rsid w:val="007064A5"/>
    <w:rsid w:val="007141B1"/>
    <w:rsid w:val="00715BD0"/>
    <w:rsid w:val="00723DB7"/>
    <w:rsid w:val="00727842"/>
    <w:rsid w:val="0073641E"/>
    <w:rsid w:val="00737872"/>
    <w:rsid w:val="00743CC7"/>
    <w:rsid w:val="0074732A"/>
    <w:rsid w:val="00767B2F"/>
    <w:rsid w:val="00773A5E"/>
    <w:rsid w:val="00776408"/>
    <w:rsid w:val="0078233D"/>
    <w:rsid w:val="00792486"/>
    <w:rsid w:val="00792DBE"/>
    <w:rsid w:val="00795E45"/>
    <w:rsid w:val="007D2FAA"/>
    <w:rsid w:val="007E0206"/>
    <w:rsid w:val="007E3F4F"/>
    <w:rsid w:val="007F69B9"/>
    <w:rsid w:val="00800A29"/>
    <w:rsid w:val="00811C33"/>
    <w:rsid w:val="00846D16"/>
    <w:rsid w:val="00852FD6"/>
    <w:rsid w:val="00862997"/>
    <w:rsid w:val="00863677"/>
    <w:rsid w:val="0086798F"/>
    <w:rsid w:val="00867C2D"/>
    <w:rsid w:val="008708FD"/>
    <w:rsid w:val="00894AE9"/>
    <w:rsid w:val="008C0296"/>
    <w:rsid w:val="008C5347"/>
    <w:rsid w:val="008D2560"/>
    <w:rsid w:val="008D383F"/>
    <w:rsid w:val="008E1AE0"/>
    <w:rsid w:val="008E351F"/>
    <w:rsid w:val="008F685F"/>
    <w:rsid w:val="00901DA3"/>
    <w:rsid w:val="00903D5D"/>
    <w:rsid w:val="0091784D"/>
    <w:rsid w:val="00920EAD"/>
    <w:rsid w:val="009535DF"/>
    <w:rsid w:val="0095659D"/>
    <w:rsid w:val="00964AC8"/>
    <w:rsid w:val="009676B1"/>
    <w:rsid w:val="009721AF"/>
    <w:rsid w:val="00976FE1"/>
    <w:rsid w:val="00984705"/>
    <w:rsid w:val="00995610"/>
    <w:rsid w:val="009A2C2B"/>
    <w:rsid w:val="009C0704"/>
    <w:rsid w:val="009C682F"/>
    <w:rsid w:val="009D19E4"/>
    <w:rsid w:val="009E0625"/>
    <w:rsid w:val="009E723F"/>
    <w:rsid w:val="009F7CDF"/>
    <w:rsid w:val="00A228CD"/>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20DD"/>
    <w:rsid w:val="00AD5D16"/>
    <w:rsid w:val="00AD7ECC"/>
    <w:rsid w:val="00AE108D"/>
    <w:rsid w:val="00AE3FF9"/>
    <w:rsid w:val="00AE547B"/>
    <w:rsid w:val="00AF1D0D"/>
    <w:rsid w:val="00AF2B0D"/>
    <w:rsid w:val="00AF2DD6"/>
    <w:rsid w:val="00AF4B94"/>
    <w:rsid w:val="00B01D8B"/>
    <w:rsid w:val="00B0338D"/>
    <w:rsid w:val="00B0682B"/>
    <w:rsid w:val="00B06B22"/>
    <w:rsid w:val="00B06F9F"/>
    <w:rsid w:val="00B13E76"/>
    <w:rsid w:val="00B226E1"/>
    <w:rsid w:val="00B23075"/>
    <w:rsid w:val="00B3477C"/>
    <w:rsid w:val="00B37C0E"/>
    <w:rsid w:val="00B454CA"/>
    <w:rsid w:val="00B55871"/>
    <w:rsid w:val="00B565EB"/>
    <w:rsid w:val="00B614B1"/>
    <w:rsid w:val="00B74D02"/>
    <w:rsid w:val="00B807AF"/>
    <w:rsid w:val="00B90349"/>
    <w:rsid w:val="00BB5BF7"/>
    <w:rsid w:val="00BC6C4C"/>
    <w:rsid w:val="00BE027D"/>
    <w:rsid w:val="00BF3DB8"/>
    <w:rsid w:val="00BF533F"/>
    <w:rsid w:val="00C01946"/>
    <w:rsid w:val="00C12F1C"/>
    <w:rsid w:val="00C22264"/>
    <w:rsid w:val="00C231D9"/>
    <w:rsid w:val="00C26FF1"/>
    <w:rsid w:val="00C2754A"/>
    <w:rsid w:val="00C30CAE"/>
    <w:rsid w:val="00C7294C"/>
    <w:rsid w:val="00C7721B"/>
    <w:rsid w:val="00C80B64"/>
    <w:rsid w:val="00C825D9"/>
    <w:rsid w:val="00C82D66"/>
    <w:rsid w:val="00CA1496"/>
    <w:rsid w:val="00CA612B"/>
    <w:rsid w:val="00CA6A4E"/>
    <w:rsid w:val="00CB5BB7"/>
    <w:rsid w:val="00CC19EC"/>
    <w:rsid w:val="00CE0378"/>
    <w:rsid w:val="00CE5930"/>
    <w:rsid w:val="00CF740D"/>
    <w:rsid w:val="00D10F52"/>
    <w:rsid w:val="00D20260"/>
    <w:rsid w:val="00D211D2"/>
    <w:rsid w:val="00D32102"/>
    <w:rsid w:val="00D431FE"/>
    <w:rsid w:val="00D57726"/>
    <w:rsid w:val="00D6047F"/>
    <w:rsid w:val="00D679FB"/>
    <w:rsid w:val="00D77681"/>
    <w:rsid w:val="00D85C36"/>
    <w:rsid w:val="00DA522F"/>
    <w:rsid w:val="00DA6082"/>
    <w:rsid w:val="00DB79A4"/>
    <w:rsid w:val="00DC300E"/>
    <w:rsid w:val="00DC5920"/>
    <w:rsid w:val="00DD42C1"/>
    <w:rsid w:val="00DE6C5C"/>
    <w:rsid w:val="00DE79D1"/>
    <w:rsid w:val="00DF3719"/>
    <w:rsid w:val="00E05C6A"/>
    <w:rsid w:val="00E05E73"/>
    <w:rsid w:val="00E12E32"/>
    <w:rsid w:val="00E12E4B"/>
    <w:rsid w:val="00E245C7"/>
    <w:rsid w:val="00E307EE"/>
    <w:rsid w:val="00E30917"/>
    <w:rsid w:val="00E33A22"/>
    <w:rsid w:val="00E376DF"/>
    <w:rsid w:val="00E558DE"/>
    <w:rsid w:val="00E6055B"/>
    <w:rsid w:val="00E638E4"/>
    <w:rsid w:val="00E72EF6"/>
    <w:rsid w:val="00E73319"/>
    <w:rsid w:val="00E766DD"/>
    <w:rsid w:val="00E83142"/>
    <w:rsid w:val="00E87A23"/>
    <w:rsid w:val="00E96E93"/>
    <w:rsid w:val="00EB71E4"/>
    <w:rsid w:val="00EC2B6A"/>
    <w:rsid w:val="00ED1474"/>
    <w:rsid w:val="00ED7098"/>
    <w:rsid w:val="00EE4858"/>
    <w:rsid w:val="00EE4A1A"/>
    <w:rsid w:val="00F172FB"/>
    <w:rsid w:val="00F17B6A"/>
    <w:rsid w:val="00F252F0"/>
    <w:rsid w:val="00F25CA4"/>
    <w:rsid w:val="00F31F0B"/>
    <w:rsid w:val="00F3590F"/>
    <w:rsid w:val="00F40668"/>
    <w:rsid w:val="00F54218"/>
    <w:rsid w:val="00F66499"/>
    <w:rsid w:val="00F73EF2"/>
    <w:rsid w:val="00F8041E"/>
    <w:rsid w:val="00F863B5"/>
    <w:rsid w:val="00FB534C"/>
    <w:rsid w:val="00FD74B3"/>
    <w:rsid w:val="00FE15CE"/>
    <w:rsid w:val="04B23991"/>
    <w:rsid w:val="07550729"/>
    <w:rsid w:val="0A486062"/>
    <w:rsid w:val="0BD3700F"/>
    <w:rsid w:val="0BEB6F66"/>
    <w:rsid w:val="12D17F83"/>
    <w:rsid w:val="16AB51C9"/>
    <w:rsid w:val="18EA17FB"/>
    <w:rsid w:val="1ADA2555"/>
    <w:rsid w:val="1B644912"/>
    <w:rsid w:val="1BB92BDD"/>
    <w:rsid w:val="1FA6062C"/>
    <w:rsid w:val="23914A60"/>
    <w:rsid w:val="23F30902"/>
    <w:rsid w:val="24053DA7"/>
    <w:rsid w:val="26415CA9"/>
    <w:rsid w:val="26946721"/>
    <w:rsid w:val="28376E92"/>
    <w:rsid w:val="2FE73D65"/>
    <w:rsid w:val="30354AD0"/>
    <w:rsid w:val="326D1E9C"/>
    <w:rsid w:val="333E0CEF"/>
    <w:rsid w:val="3B586C27"/>
    <w:rsid w:val="45D73ADC"/>
    <w:rsid w:val="4D6B3488"/>
    <w:rsid w:val="4D9C03B4"/>
    <w:rsid w:val="4F170F52"/>
    <w:rsid w:val="519E1C1F"/>
    <w:rsid w:val="5E500AD7"/>
    <w:rsid w:val="5F202EC3"/>
    <w:rsid w:val="61717EE8"/>
    <w:rsid w:val="6326206F"/>
    <w:rsid w:val="67C15B0F"/>
    <w:rsid w:val="6B772987"/>
    <w:rsid w:val="6D9D73D6"/>
    <w:rsid w:val="6DEE5CE3"/>
    <w:rsid w:val="6FAA2A00"/>
    <w:rsid w:val="72823D28"/>
    <w:rsid w:val="73C84AB2"/>
    <w:rsid w:val="763A7397"/>
    <w:rsid w:val="78E56D3B"/>
    <w:rsid w:val="7E6B6EDC"/>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iPriority="99" w:name="annotation text"/>
    <w:lsdException w:qFormat="1" w:unhideWhenUsed="0" w:uiPriority="0" w:name="header"/>
    <w:lsdException w:qFormat="1" w:unhideWhenUsed="0" w:uiPriority="0" w:name="footer"/>
    <w:lsdException w:qFormat="1" w:uiPriority="99" w:name="index heading"/>
    <w:lsdException w:qFormat="1" w:unhideWhenUsed="0" w:uiPriority="0" w:semiHidden="0" w:name="caption"/>
    <w:lsdException w:qFormat="1" w:unhideWhenUsed="0" w:uiPriority="0" w:name="table of figures"/>
    <w:lsdException w:qFormat="1" w:uiPriority="99" w:name="envelope address"/>
    <w:lsdException w:qFormat="1"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iPriority="99"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name="Balloon Text"/>
    <w:lsdException w:qFormat="1" w:unhideWhenUsed="0" w:uiPriority="59" w:semiHidden="0" w:name="Table Grid"/>
    <w:lsdException w:qFormat="1" w:uiPriority="99" w:name="Table Theme"/>
    <w:lsdException w:qFormat="1" w:unhideWhenUsed="0" w:uiPriority="99" w:name="Placeholder Text"/>
    <w:lsdException w:qFormat="1" w:unhideWhenUsed="0"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0"/>
    <w:pPr>
      <w:keepNext/>
      <w:keepLines/>
      <w:spacing w:before="240" w:after="64" w:line="320" w:lineRule="auto"/>
      <w:outlineLvl w:val="6"/>
    </w:pPr>
    <w:rPr>
      <w:b/>
      <w:bCs/>
      <w:sz w:val="24"/>
    </w:rPr>
  </w:style>
  <w:style w:type="paragraph" w:styleId="10">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3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358"/>
    <w:semiHidden/>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semiHidden/>
    <w:unhideWhenUsed/>
    <w:qFormat/>
    <w:uiPriority w:val="99"/>
    <w:pPr>
      <w:ind w:left="100" w:leftChars="400" w:hanging="200" w:hangingChars="200"/>
      <w:contextualSpacing/>
    </w:pPr>
  </w:style>
  <w:style w:type="paragraph" w:styleId="13">
    <w:name w:val="toc 7"/>
    <w:basedOn w:val="14"/>
    <w:semiHidden/>
    <w:qFormat/>
    <w:uiPriority w:val="0"/>
    <w:pPr>
      <w:ind w:left="500" w:leftChars="500"/>
    </w:pPr>
  </w:style>
  <w:style w:type="paragraph" w:styleId="14">
    <w:name w:val="toc 6"/>
    <w:basedOn w:val="15"/>
    <w:semiHidden/>
    <w:qFormat/>
    <w:uiPriority w:val="0"/>
    <w:pPr>
      <w:ind w:left="400" w:leftChars="400"/>
    </w:pPr>
  </w:style>
  <w:style w:type="paragraph" w:styleId="15">
    <w:name w:val="toc 5"/>
    <w:basedOn w:val="16"/>
    <w:semiHidden/>
    <w:qFormat/>
    <w:uiPriority w:val="0"/>
    <w:pPr>
      <w:ind w:left="300" w:leftChars="300"/>
    </w:pPr>
  </w:style>
  <w:style w:type="paragraph" w:styleId="16">
    <w:name w:val="toc 4"/>
    <w:basedOn w:val="17"/>
    <w:semiHidden/>
    <w:qFormat/>
    <w:uiPriority w:val="0"/>
    <w:pPr>
      <w:ind w:left="200" w:leftChars="200"/>
    </w:pPr>
  </w:style>
  <w:style w:type="paragraph" w:styleId="17">
    <w:name w:val="toc 3"/>
    <w:basedOn w:val="18"/>
    <w:semiHidden/>
    <w:qFormat/>
    <w:uiPriority w:val="0"/>
    <w:pPr>
      <w:ind w:left="100" w:leftChars="100"/>
    </w:pPr>
  </w:style>
  <w:style w:type="paragraph" w:styleId="18">
    <w:name w:val="toc 2"/>
    <w:basedOn w:val="19"/>
    <w:qFormat/>
    <w:uiPriority w:val="39"/>
  </w:style>
  <w:style w:type="paragraph" w:styleId="19">
    <w:name w:val="toc 1"/>
    <w:qFormat/>
    <w:uiPriority w:val="39"/>
    <w:pPr>
      <w:spacing w:before="25" w:beforeLines="25" w:after="25" w:afterLines="25"/>
      <w:jc w:val="both"/>
    </w:pPr>
    <w:rPr>
      <w:rFonts w:ascii="宋体" w:hAnsi="Times New Roman" w:eastAsia="宋体" w:cs="Times New Roman"/>
      <w:sz w:val="21"/>
      <w:lang w:val="en-US" w:eastAsia="zh-CN" w:bidi="ar-SA"/>
    </w:rPr>
  </w:style>
  <w:style w:type="paragraph" w:styleId="20">
    <w:name w:val="List Number 2"/>
    <w:basedOn w:val="1"/>
    <w:semiHidden/>
    <w:unhideWhenUsed/>
    <w:qFormat/>
    <w:uiPriority w:val="99"/>
    <w:pPr>
      <w:numPr>
        <w:ilvl w:val="0"/>
        <w:numId w:val="1"/>
      </w:numPr>
      <w:contextualSpacing/>
    </w:pPr>
  </w:style>
  <w:style w:type="paragraph" w:styleId="21">
    <w:name w:val="table of authorities"/>
    <w:basedOn w:val="1"/>
    <w:next w:val="1"/>
    <w:semiHidden/>
    <w:unhideWhenUsed/>
    <w:qFormat/>
    <w:uiPriority w:val="99"/>
    <w:pPr>
      <w:ind w:left="420" w:leftChars="200"/>
    </w:pPr>
  </w:style>
  <w:style w:type="paragraph" w:styleId="22">
    <w:name w:val="Note Heading"/>
    <w:basedOn w:val="1"/>
    <w:next w:val="1"/>
    <w:link w:val="490"/>
    <w:semiHidden/>
    <w:unhideWhenUsed/>
    <w:qFormat/>
    <w:uiPriority w:val="99"/>
    <w:pPr>
      <w:jc w:val="center"/>
    </w:pPr>
  </w:style>
  <w:style w:type="paragraph" w:styleId="23">
    <w:name w:val="List Bullet 4"/>
    <w:basedOn w:val="1"/>
    <w:semiHidden/>
    <w:unhideWhenUsed/>
    <w:qFormat/>
    <w:uiPriority w:val="99"/>
    <w:pPr>
      <w:numPr>
        <w:ilvl w:val="0"/>
        <w:numId w:val="2"/>
      </w:numPr>
      <w:contextualSpacing/>
    </w:pPr>
  </w:style>
  <w:style w:type="paragraph" w:styleId="24">
    <w:name w:val="index 8"/>
    <w:basedOn w:val="1"/>
    <w:next w:val="1"/>
    <w:semiHidden/>
    <w:unhideWhenUsed/>
    <w:qFormat/>
    <w:uiPriority w:val="99"/>
    <w:pPr>
      <w:ind w:left="1400" w:leftChars="1400"/>
    </w:pPr>
  </w:style>
  <w:style w:type="paragraph" w:styleId="25">
    <w:name w:val="E-mail Signature"/>
    <w:basedOn w:val="1"/>
    <w:link w:val="356"/>
    <w:semiHidden/>
    <w:unhideWhenUsed/>
    <w:qFormat/>
    <w:uiPriority w:val="99"/>
  </w:style>
  <w:style w:type="paragraph" w:styleId="26">
    <w:name w:val="List Number"/>
    <w:basedOn w:val="1"/>
    <w:semiHidden/>
    <w:unhideWhenUsed/>
    <w:qFormat/>
    <w:uiPriority w:val="99"/>
    <w:pPr>
      <w:numPr>
        <w:ilvl w:val="0"/>
        <w:numId w:val="3"/>
      </w:numPr>
      <w:contextualSpacing/>
    </w:pPr>
  </w:style>
  <w:style w:type="paragraph" w:styleId="27">
    <w:name w:val="Normal Indent"/>
    <w:basedOn w:val="1"/>
    <w:semiHidden/>
    <w:unhideWhenUsed/>
    <w:qFormat/>
    <w:uiPriority w:val="99"/>
    <w:pPr>
      <w:ind w:firstLine="420" w:firstLineChars="200"/>
    </w:pPr>
  </w:style>
  <w:style w:type="paragraph" w:styleId="28">
    <w:name w:val="caption"/>
    <w:basedOn w:val="1"/>
    <w:next w:val="1"/>
    <w:qFormat/>
    <w:uiPriority w:val="0"/>
    <w:rPr>
      <w:rFonts w:ascii="宋体" w:hAnsi="Arial" w:cs="Arial"/>
      <w:szCs w:val="20"/>
    </w:rPr>
  </w:style>
  <w:style w:type="paragraph" w:styleId="29">
    <w:name w:val="index 5"/>
    <w:basedOn w:val="1"/>
    <w:next w:val="1"/>
    <w:semiHidden/>
    <w:unhideWhenUsed/>
    <w:qFormat/>
    <w:uiPriority w:val="99"/>
    <w:pPr>
      <w:ind w:left="800" w:leftChars="800"/>
    </w:pPr>
  </w:style>
  <w:style w:type="paragraph" w:styleId="30">
    <w:name w:val="List Bullet"/>
    <w:basedOn w:val="1"/>
    <w:semiHidden/>
    <w:unhideWhenUsed/>
    <w:qFormat/>
    <w:uiPriority w:val="99"/>
    <w:pPr>
      <w:numPr>
        <w:ilvl w:val="0"/>
        <w:numId w:val="4"/>
      </w:numPr>
      <w:contextualSpacing/>
    </w:pPr>
  </w:style>
  <w:style w:type="paragraph" w:styleId="31">
    <w:name w:val="envelope address"/>
    <w:basedOn w:val="1"/>
    <w:semiHidden/>
    <w:unhideWhenUsed/>
    <w:qFormat/>
    <w:uiPriority w:val="99"/>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rPr>
  </w:style>
  <w:style w:type="paragraph" w:styleId="32">
    <w:name w:val="Document Map"/>
    <w:basedOn w:val="1"/>
    <w:link w:val="472"/>
    <w:semiHidden/>
    <w:unhideWhenUsed/>
    <w:qFormat/>
    <w:uiPriority w:val="99"/>
    <w:rPr>
      <w:rFonts w:ascii="Microsoft YaHei UI" w:eastAsia="Microsoft YaHei UI"/>
      <w:sz w:val="18"/>
      <w:szCs w:val="18"/>
    </w:rPr>
  </w:style>
  <w:style w:type="paragraph" w:styleId="33">
    <w:name w:val="toa heading"/>
    <w:basedOn w:val="1"/>
    <w:next w:val="1"/>
    <w:semiHidden/>
    <w:unhideWhenUsed/>
    <w:qFormat/>
    <w:uiPriority w:val="99"/>
    <w:pPr>
      <w:spacing w:before="120"/>
    </w:pPr>
    <w:rPr>
      <w:rFonts w:asciiTheme="majorHAnsi" w:hAnsiTheme="majorHAnsi" w:cstheme="majorBidi"/>
      <w:sz w:val="24"/>
    </w:rPr>
  </w:style>
  <w:style w:type="paragraph" w:styleId="34">
    <w:name w:val="annotation text"/>
    <w:basedOn w:val="1"/>
    <w:link w:val="366"/>
    <w:semiHidden/>
    <w:unhideWhenUsed/>
    <w:qFormat/>
    <w:uiPriority w:val="99"/>
    <w:pPr>
      <w:jc w:val="left"/>
    </w:pPr>
  </w:style>
  <w:style w:type="paragraph" w:styleId="35">
    <w:name w:val="index 6"/>
    <w:basedOn w:val="1"/>
    <w:next w:val="1"/>
    <w:semiHidden/>
    <w:unhideWhenUsed/>
    <w:qFormat/>
    <w:uiPriority w:val="99"/>
    <w:pPr>
      <w:ind w:left="1000" w:leftChars="1000"/>
    </w:pPr>
  </w:style>
  <w:style w:type="paragraph" w:styleId="36">
    <w:name w:val="Salutation"/>
    <w:basedOn w:val="1"/>
    <w:next w:val="1"/>
    <w:link w:val="354"/>
    <w:semiHidden/>
    <w:unhideWhenUsed/>
    <w:qFormat/>
    <w:uiPriority w:val="99"/>
  </w:style>
  <w:style w:type="paragraph" w:styleId="37">
    <w:name w:val="Body Text 3"/>
    <w:basedOn w:val="1"/>
    <w:link w:val="487"/>
    <w:semiHidden/>
    <w:unhideWhenUsed/>
    <w:qFormat/>
    <w:uiPriority w:val="99"/>
    <w:pPr>
      <w:spacing w:after="120"/>
    </w:pPr>
    <w:rPr>
      <w:sz w:val="16"/>
      <w:szCs w:val="16"/>
    </w:rPr>
  </w:style>
  <w:style w:type="paragraph" w:styleId="38">
    <w:name w:val="Closing"/>
    <w:basedOn w:val="1"/>
    <w:link w:val="359"/>
    <w:semiHidden/>
    <w:unhideWhenUsed/>
    <w:qFormat/>
    <w:uiPriority w:val="99"/>
    <w:pPr>
      <w:ind w:left="100" w:leftChars="2100"/>
    </w:pPr>
  </w:style>
  <w:style w:type="paragraph" w:styleId="39">
    <w:name w:val="List Bullet 3"/>
    <w:basedOn w:val="1"/>
    <w:semiHidden/>
    <w:unhideWhenUsed/>
    <w:qFormat/>
    <w:uiPriority w:val="99"/>
    <w:pPr>
      <w:numPr>
        <w:ilvl w:val="0"/>
        <w:numId w:val="5"/>
      </w:numPr>
      <w:contextualSpacing/>
    </w:pPr>
  </w:style>
  <w:style w:type="paragraph" w:styleId="40">
    <w:name w:val="Body Text"/>
    <w:basedOn w:val="1"/>
    <w:link w:val="332"/>
    <w:semiHidden/>
    <w:unhideWhenUsed/>
    <w:qFormat/>
    <w:uiPriority w:val="99"/>
    <w:pPr>
      <w:spacing w:after="120"/>
    </w:pPr>
  </w:style>
  <w:style w:type="paragraph" w:styleId="41">
    <w:name w:val="Body Text Indent"/>
    <w:basedOn w:val="1"/>
    <w:link w:val="484"/>
    <w:semiHidden/>
    <w:unhideWhenUsed/>
    <w:qFormat/>
    <w:uiPriority w:val="99"/>
    <w:pPr>
      <w:spacing w:after="120"/>
      <w:ind w:left="420" w:leftChars="200"/>
    </w:pPr>
  </w:style>
  <w:style w:type="paragraph" w:styleId="42">
    <w:name w:val="List Number 3"/>
    <w:basedOn w:val="1"/>
    <w:semiHidden/>
    <w:unhideWhenUsed/>
    <w:qFormat/>
    <w:uiPriority w:val="99"/>
    <w:pPr>
      <w:numPr>
        <w:ilvl w:val="0"/>
        <w:numId w:val="6"/>
      </w:numPr>
      <w:contextualSpacing/>
    </w:pPr>
  </w:style>
  <w:style w:type="paragraph" w:styleId="43">
    <w:name w:val="List 2"/>
    <w:basedOn w:val="1"/>
    <w:semiHidden/>
    <w:unhideWhenUsed/>
    <w:qFormat/>
    <w:uiPriority w:val="99"/>
    <w:pPr>
      <w:ind w:left="100" w:leftChars="200" w:hanging="200" w:hangingChars="200"/>
      <w:contextualSpacing/>
    </w:pPr>
  </w:style>
  <w:style w:type="paragraph" w:styleId="44">
    <w:name w:val="List Continue"/>
    <w:basedOn w:val="1"/>
    <w:semiHidden/>
    <w:unhideWhenUsed/>
    <w:qFormat/>
    <w:uiPriority w:val="99"/>
    <w:pPr>
      <w:spacing w:after="120"/>
      <w:ind w:left="420" w:leftChars="200"/>
      <w:contextualSpacing/>
    </w:pPr>
  </w:style>
  <w:style w:type="paragraph" w:styleId="45">
    <w:name w:val="Block Text"/>
    <w:basedOn w:val="1"/>
    <w:semiHidden/>
    <w:unhideWhenUsed/>
    <w:qFormat/>
    <w:uiPriority w:val="99"/>
    <w:pPr>
      <w:spacing w:after="120"/>
      <w:ind w:left="1440" w:leftChars="700" w:right="1440" w:rightChars="700"/>
    </w:pPr>
  </w:style>
  <w:style w:type="paragraph" w:styleId="46">
    <w:name w:val="List Bullet 2"/>
    <w:basedOn w:val="1"/>
    <w:semiHidden/>
    <w:unhideWhenUsed/>
    <w:qFormat/>
    <w:uiPriority w:val="99"/>
    <w:pPr>
      <w:numPr>
        <w:ilvl w:val="0"/>
        <w:numId w:val="7"/>
      </w:numPr>
      <w:contextualSpacing/>
    </w:pPr>
  </w:style>
  <w:style w:type="paragraph" w:styleId="47">
    <w:name w:val="HTML Address"/>
    <w:basedOn w:val="1"/>
    <w:semiHidden/>
    <w:qFormat/>
    <w:uiPriority w:val="0"/>
    <w:rPr>
      <w:i/>
      <w:iCs/>
    </w:rPr>
  </w:style>
  <w:style w:type="paragraph" w:styleId="48">
    <w:name w:val="index 4"/>
    <w:basedOn w:val="1"/>
    <w:next w:val="1"/>
    <w:semiHidden/>
    <w:unhideWhenUsed/>
    <w:qFormat/>
    <w:uiPriority w:val="99"/>
    <w:pPr>
      <w:ind w:left="600" w:leftChars="600"/>
    </w:pPr>
  </w:style>
  <w:style w:type="paragraph" w:styleId="49">
    <w:name w:val="Plain Text"/>
    <w:basedOn w:val="1"/>
    <w:link w:val="355"/>
    <w:semiHidden/>
    <w:unhideWhenUsed/>
    <w:qFormat/>
    <w:uiPriority w:val="99"/>
    <w:rPr>
      <w:rFonts w:ascii="宋体" w:hAnsi="Courier New" w:cs="Courier New"/>
      <w:szCs w:val="21"/>
    </w:rPr>
  </w:style>
  <w:style w:type="paragraph" w:styleId="50">
    <w:name w:val="List Bullet 5"/>
    <w:basedOn w:val="1"/>
    <w:semiHidden/>
    <w:unhideWhenUsed/>
    <w:qFormat/>
    <w:uiPriority w:val="99"/>
    <w:pPr>
      <w:numPr>
        <w:ilvl w:val="0"/>
        <w:numId w:val="8"/>
      </w:numPr>
      <w:contextualSpacing/>
    </w:pPr>
  </w:style>
  <w:style w:type="paragraph" w:styleId="51">
    <w:name w:val="List Number 4"/>
    <w:basedOn w:val="1"/>
    <w:semiHidden/>
    <w:unhideWhenUsed/>
    <w:qFormat/>
    <w:uiPriority w:val="99"/>
    <w:pPr>
      <w:numPr>
        <w:ilvl w:val="0"/>
        <w:numId w:val="9"/>
      </w:numPr>
      <w:contextualSpacing/>
    </w:pPr>
  </w:style>
  <w:style w:type="paragraph" w:styleId="52">
    <w:name w:val="toc 8"/>
    <w:basedOn w:val="13"/>
    <w:semiHidden/>
    <w:qFormat/>
    <w:uiPriority w:val="0"/>
  </w:style>
  <w:style w:type="paragraph" w:styleId="53">
    <w:name w:val="index 3"/>
    <w:basedOn w:val="1"/>
    <w:next w:val="1"/>
    <w:semiHidden/>
    <w:unhideWhenUsed/>
    <w:qFormat/>
    <w:uiPriority w:val="99"/>
    <w:pPr>
      <w:ind w:left="400" w:leftChars="400"/>
    </w:pPr>
  </w:style>
  <w:style w:type="paragraph" w:styleId="54">
    <w:name w:val="Date"/>
    <w:basedOn w:val="1"/>
    <w:next w:val="1"/>
    <w:link w:val="418"/>
    <w:semiHidden/>
    <w:unhideWhenUsed/>
    <w:qFormat/>
    <w:uiPriority w:val="99"/>
    <w:pPr>
      <w:ind w:left="100" w:leftChars="2500"/>
    </w:pPr>
  </w:style>
  <w:style w:type="paragraph" w:styleId="55">
    <w:name w:val="Body Text Indent 2"/>
    <w:basedOn w:val="1"/>
    <w:link w:val="488"/>
    <w:semiHidden/>
    <w:unhideWhenUsed/>
    <w:qFormat/>
    <w:uiPriority w:val="99"/>
    <w:pPr>
      <w:spacing w:after="120" w:line="480" w:lineRule="auto"/>
      <w:ind w:left="420" w:leftChars="200"/>
    </w:pPr>
  </w:style>
  <w:style w:type="paragraph" w:styleId="56">
    <w:name w:val="endnote text"/>
    <w:basedOn w:val="1"/>
    <w:link w:val="471"/>
    <w:semiHidden/>
    <w:unhideWhenUsed/>
    <w:qFormat/>
    <w:uiPriority w:val="99"/>
    <w:pPr>
      <w:snapToGrid w:val="0"/>
      <w:jc w:val="left"/>
    </w:pPr>
  </w:style>
  <w:style w:type="paragraph" w:styleId="57">
    <w:name w:val="List Continue 5"/>
    <w:basedOn w:val="1"/>
    <w:semiHidden/>
    <w:unhideWhenUsed/>
    <w:qFormat/>
    <w:uiPriority w:val="99"/>
    <w:pPr>
      <w:spacing w:after="120"/>
      <w:ind w:left="2100" w:leftChars="1000"/>
      <w:contextualSpacing/>
    </w:pPr>
  </w:style>
  <w:style w:type="paragraph" w:styleId="58">
    <w:name w:val="Balloon Text"/>
    <w:basedOn w:val="1"/>
    <w:link w:val="365"/>
    <w:semiHidden/>
    <w:unhideWhenUsed/>
    <w:qFormat/>
    <w:uiPriority w:val="99"/>
    <w:rPr>
      <w:sz w:val="18"/>
      <w:szCs w:val="18"/>
    </w:rPr>
  </w:style>
  <w:style w:type="paragraph" w:styleId="59">
    <w:name w:val="footer"/>
    <w:basedOn w:val="1"/>
    <w:semiHidden/>
    <w:qFormat/>
    <w:uiPriority w:val="0"/>
    <w:pPr>
      <w:tabs>
        <w:tab w:val="center" w:pos="4153"/>
        <w:tab w:val="right" w:pos="8306"/>
      </w:tabs>
      <w:snapToGrid w:val="0"/>
      <w:jc w:val="right"/>
    </w:pPr>
    <w:rPr>
      <w:sz w:val="18"/>
      <w:szCs w:val="18"/>
    </w:rPr>
  </w:style>
  <w:style w:type="paragraph" w:styleId="60">
    <w:name w:val="envelope return"/>
    <w:basedOn w:val="1"/>
    <w:semiHidden/>
    <w:unhideWhenUsed/>
    <w:qFormat/>
    <w:uiPriority w:val="99"/>
    <w:pPr>
      <w:snapToGrid w:val="0"/>
    </w:pPr>
    <w:rPr>
      <w:rFonts w:asciiTheme="majorHAnsi" w:hAnsiTheme="majorHAnsi" w:eastAsiaTheme="majorEastAsia" w:cstheme="majorBidi"/>
    </w:rPr>
  </w:style>
  <w:style w:type="paragraph" w:styleId="61">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62">
    <w:name w:val="Signature"/>
    <w:basedOn w:val="1"/>
    <w:link w:val="368"/>
    <w:semiHidden/>
    <w:unhideWhenUsed/>
    <w:qFormat/>
    <w:uiPriority w:val="99"/>
    <w:pPr>
      <w:ind w:left="100" w:leftChars="2100"/>
    </w:pPr>
  </w:style>
  <w:style w:type="paragraph" w:styleId="63">
    <w:name w:val="List Continue 4"/>
    <w:basedOn w:val="1"/>
    <w:semiHidden/>
    <w:unhideWhenUsed/>
    <w:qFormat/>
    <w:uiPriority w:val="99"/>
    <w:pPr>
      <w:spacing w:after="120"/>
      <w:ind w:left="1680" w:leftChars="800"/>
      <w:contextualSpacing/>
    </w:pPr>
  </w:style>
  <w:style w:type="paragraph" w:styleId="64">
    <w:name w:val="index heading"/>
    <w:basedOn w:val="1"/>
    <w:next w:val="65"/>
    <w:semiHidden/>
    <w:unhideWhenUsed/>
    <w:qFormat/>
    <w:uiPriority w:val="99"/>
    <w:pPr>
      <w:spacing w:before="100" w:beforeLines="100" w:after="100" w:afterLines="100"/>
      <w:jc w:val="center"/>
    </w:pPr>
    <w:rPr>
      <w:rFonts w:eastAsia="黑体" w:asciiTheme="majorHAnsi" w:hAnsiTheme="majorHAnsi" w:cstheme="majorBidi"/>
      <w:bCs/>
    </w:rPr>
  </w:style>
  <w:style w:type="paragraph" w:styleId="65">
    <w:name w:val="index 1"/>
    <w:basedOn w:val="1"/>
    <w:next w:val="1"/>
    <w:semiHidden/>
    <w:unhideWhenUsed/>
    <w:qFormat/>
    <w:uiPriority w:val="99"/>
    <w:rPr>
      <w:rFonts w:ascii="宋体" w:hAnsi="宋体"/>
    </w:rPr>
  </w:style>
  <w:style w:type="paragraph" w:styleId="66">
    <w:name w:val="Subtitle"/>
    <w:basedOn w:val="1"/>
    <w:next w:val="1"/>
    <w:link w:val="357"/>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7">
    <w:name w:val="List Number 5"/>
    <w:basedOn w:val="1"/>
    <w:semiHidden/>
    <w:unhideWhenUsed/>
    <w:qFormat/>
    <w:uiPriority w:val="99"/>
    <w:pPr>
      <w:numPr>
        <w:ilvl w:val="0"/>
        <w:numId w:val="10"/>
      </w:numPr>
      <w:contextualSpacing/>
    </w:pPr>
  </w:style>
  <w:style w:type="paragraph" w:styleId="68">
    <w:name w:val="List"/>
    <w:basedOn w:val="1"/>
    <w:semiHidden/>
    <w:unhideWhenUsed/>
    <w:qFormat/>
    <w:uiPriority w:val="99"/>
    <w:pPr>
      <w:ind w:left="200" w:hanging="200" w:hangingChars="200"/>
      <w:contextualSpacing/>
    </w:pPr>
  </w:style>
  <w:style w:type="paragraph" w:styleId="69">
    <w:name w:val="footnote text"/>
    <w:basedOn w:val="1"/>
    <w:semiHidden/>
    <w:qFormat/>
    <w:uiPriority w:val="0"/>
    <w:pPr>
      <w:snapToGrid w:val="0"/>
      <w:ind w:left="400" w:leftChars="200" w:hanging="200" w:hangingChars="200"/>
      <w:jc w:val="left"/>
    </w:pPr>
    <w:rPr>
      <w:sz w:val="18"/>
      <w:szCs w:val="18"/>
    </w:rPr>
  </w:style>
  <w:style w:type="paragraph" w:styleId="70">
    <w:name w:val="List 5"/>
    <w:basedOn w:val="1"/>
    <w:semiHidden/>
    <w:unhideWhenUsed/>
    <w:qFormat/>
    <w:uiPriority w:val="99"/>
    <w:pPr>
      <w:ind w:left="100" w:leftChars="800" w:hanging="200" w:hangingChars="200"/>
      <w:contextualSpacing/>
    </w:pPr>
  </w:style>
  <w:style w:type="paragraph" w:styleId="71">
    <w:name w:val="Body Text Indent 3"/>
    <w:basedOn w:val="1"/>
    <w:link w:val="489"/>
    <w:semiHidden/>
    <w:unhideWhenUsed/>
    <w:qFormat/>
    <w:uiPriority w:val="99"/>
    <w:pPr>
      <w:spacing w:after="120"/>
      <w:ind w:left="420" w:leftChars="200"/>
    </w:pPr>
    <w:rPr>
      <w:sz w:val="16"/>
      <w:szCs w:val="16"/>
    </w:rPr>
  </w:style>
  <w:style w:type="paragraph" w:styleId="72">
    <w:name w:val="index 7"/>
    <w:basedOn w:val="1"/>
    <w:next w:val="1"/>
    <w:semiHidden/>
    <w:unhideWhenUsed/>
    <w:qFormat/>
    <w:uiPriority w:val="99"/>
    <w:pPr>
      <w:ind w:left="1200" w:leftChars="1200"/>
    </w:pPr>
  </w:style>
  <w:style w:type="paragraph" w:styleId="73">
    <w:name w:val="index 9"/>
    <w:basedOn w:val="1"/>
    <w:next w:val="1"/>
    <w:semiHidden/>
    <w:unhideWhenUsed/>
    <w:qFormat/>
    <w:uiPriority w:val="99"/>
    <w:pPr>
      <w:ind w:left="1600" w:leftChars="1600"/>
    </w:pPr>
  </w:style>
  <w:style w:type="paragraph" w:styleId="74">
    <w:name w:val="table of figures"/>
    <w:basedOn w:val="1"/>
    <w:next w:val="1"/>
    <w:semiHidden/>
    <w:qFormat/>
    <w:uiPriority w:val="0"/>
  </w:style>
  <w:style w:type="paragraph" w:styleId="75">
    <w:name w:val="toc 9"/>
    <w:basedOn w:val="52"/>
    <w:semiHidden/>
    <w:qFormat/>
    <w:uiPriority w:val="0"/>
  </w:style>
  <w:style w:type="paragraph" w:styleId="76">
    <w:name w:val="Body Text 2"/>
    <w:basedOn w:val="1"/>
    <w:link w:val="486"/>
    <w:semiHidden/>
    <w:unhideWhenUsed/>
    <w:qFormat/>
    <w:uiPriority w:val="99"/>
    <w:pPr>
      <w:spacing w:after="120" w:line="480" w:lineRule="auto"/>
    </w:pPr>
  </w:style>
  <w:style w:type="paragraph" w:styleId="77">
    <w:name w:val="List 4"/>
    <w:basedOn w:val="1"/>
    <w:semiHidden/>
    <w:unhideWhenUsed/>
    <w:qFormat/>
    <w:uiPriority w:val="99"/>
    <w:pPr>
      <w:ind w:left="100" w:leftChars="600" w:hanging="200" w:hangingChars="200"/>
      <w:contextualSpacing/>
    </w:pPr>
  </w:style>
  <w:style w:type="paragraph" w:styleId="78">
    <w:name w:val="List Continue 2"/>
    <w:basedOn w:val="1"/>
    <w:semiHidden/>
    <w:unhideWhenUsed/>
    <w:qFormat/>
    <w:uiPriority w:val="99"/>
    <w:pPr>
      <w:spacing w:after="120"/>
      <w:ind w:left="840" w:leftChars="400"/>
      <w:contextualSpacing/>
    </w:pPr>
  </w:style>
  <w:style w:type="paragraph" w:styleId="79">
    <w:name w:val="Message Header"/>
    <w:basedOn w:val="1"/>
    <w:link w:val="479"/>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0">
    <w:name w:val="HTML Preformatted"/>
    <w:basedOn w:val="1"/>
    <w:semiHidden/>
    <w:qFormat/>
    <w:uiPriority w:val="0"/>
    <w:rPr>
      <w:rFonts w:ascii="Courier New" w:hAnsi="Courier New" w:cs="Courier New"/>
      <w:sz w:val="20"/>
      <w:szCs w:val="20"/>
    </w:rPr>
  </w:style>
  <w:style w:type="paragraph" w:styleId="81">
    <w:name w:val="Normal (Web)"/>
    <w:basedOn w:val="1"/>
    <w:semiHidden/>
    <w:unhideWhenUsed/>
    <w:qFormat/>
    <w:uiPriority w:val="99"/>
    <w:rPr>
      <w:sz w:val="24"/>
    </w:rPr>
  </w:style>
  <w:style w:type="paragraph" w:styleId="82">
    <w:name w:val="List Continue 3"/>
    <w:basedOn w:val="1"/>
    <w:semiHidden/>
    <w:unhideWhenUsed/>
    <w:qFormat/>
    <w:uiPriority w:val="99"/>
    <w:pPr>
      <w:spacing w:after="120"/>
      <w:ind w:left="1260" w:leftChars="600"/>
      <w:contextualSpacing/>
    </w:pPr>
  </w:style>
  <w:style w:type="paragraph" w:styleId="83">
    <w:name w:val="index 2"/>
    <w:basedOn w:val="1"/>
    <w:next w:val="1"/>
    <w:semiHidden/>
    <w:unhideWhenUsed/>
    <w:qFormat/>
    <w:uiPriority w:val="99"/>
    <w:pPr>
      <w:ind w:left="200" w:leftChars="200"/>
    </w:pPr>
  </w:style>
  <w:style w:type="paragraph" w:styleId="84">
    <w:name w:val="Title"/>
    <w:basedOn w:val="1"/>
    <w:qFormat/>
    <w:uiPriority w:val="0"/>
    <w:pPr>
      <w:spacing w:before="240" w:after="60"/>
      <w:jc w:val="center"/>
      <w:outlineLvl w:val="0"/>
    </w:pPr>
    <w:rPr>
      <w:rFonts w:ascii="Arial" w:hAnsi="Arial" w:cs="Arial"/>
      <w:b/>
      <w:bCs/>
      <w:sz w:val="32"/>
      <w:szCs w:val="32"/>
    </w:rPr>
  </w:style>
  <w:style w:type="paragraph" w:styleId="85">
    <w:name w:val="annotation subject"/>
    <w:basedOn w:val="34"/>
    <w:next w:val="34"/>
    <w:link w:val="367"/>
    <w:semiHidden/>
    <w:unhideWhenUsed/>
    <w:qFormat/>
    <w:uiPriority w:val="99"/>
    <w:rPr>
      <w:b/>
      <w:bCs/>
    </w:rPr>
  </w:style>
  <w:style w:type="paragraph" w:styleId="86">
    <w:name w:val="Body Text First Indent"/>
    <w:basedOn w:val="40"/>
    <w:link w:val="483"/>
    <w:semiHidden/>
    <w:unhideWhenUsed/>
    <w:qFormat/>
    <w:uiPriority w:val="99"/>
    <w:pPr>
      <w:ind w:firstLine="420" w:firstLineChars="100"/>
    </w:pPr>
  </w:style>
  <w:style w:type="paragraph" w:styleId="87">
    <w:name w:val="Body Text First Indent 2"/>
    <w:basedOn w:val="41"/>
    <w:link w:val="485"/>
    <w:semiHidden/>
    <w:unhideWhenUsed/>
    <w:qFormat/>
    <w:uiPriority w:val="99"/>
    <w:pPr>
      <w:ind w:firstLine="420" w:firstLineChars="200"/>
    </w:pPr>
  </w:style>
  <w:style w:type="table" w:styleId="89">
    <w:name w:val="Table Grid"/>
    <w:basedOn w:val="8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qFormat/>
    <w:uiPriority w:val="99"/>
    <w:pPr>
      <w:widowControl w:val="0"/>
      <w:jc w:val="both"/>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qFormat/>
    <w:uiPriority w:val="99"/>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qFormat/>
    <w:uiPriority w:val="99"/>
    <w:pPr>
      <w:widowControl w:val="0"/>
      <w:jc w:val="both"/>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qFormat/>
    <w:uiPriority w:val="99"/>
    <w:pPr>
      <w:widowControl w:val="0"/>
      <w:jc w:val="both"/>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qFormat/>
    <w:uiPriority w:val="99"/>
    <w:pPr>
      <w:widowControl w:val="0"/>
      <w:jc w:val="both"/>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qFormat/>
    <w:uiPriority w:val="99"/>
    <w:pPr>
      <w:widowControl w:val="0"/>
      <w:jc w:val="both"/>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qFormat/>
    <w:uiPriority w:val="99"/>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qFormat/>
    <w:uiPriority w:val="99"/>
    <w:pPr>
      <w:widowControl w:val="0"/>
      <w:jc w:val="both"/>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qFormat/>
    <w:uiPriority w:val="99"/>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qFormat/>
    <w:uiPriority w:val="99"/>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qFormat/>
    <w:uiPriority w:val="99"/>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qFormat/>
    <w:uiPriority w:val="99"/>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qFormat/>
    <w:uiPriority w:val="60"/>
    <w:rPr>
      <w:color w:val="2E75B6" w:themeColor="accent1" w:themeShade="BF"/>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35">
    <w:name w:val="Light Shading Accent 2"/>
    <w:basedOn w:val="88"/>
    <w:semiHidden/>
    <w:unhideWhenUsed/>
    <w:qFormat/>
    <w:uiPriority w:val="60"/>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qFormat/>
    <w:uiPriority w:val="60"/>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qFormat/>
    <w:uiPriority w:val="60"/>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qFormat/>
    <w:uiPriority w:val="60"/>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qFormat/>
    <w:uiPriority w:val="60"/>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5B9BD5" w:themeFill="accent1"/>
      </w:tcPr>
    </w:tblStylePr>
    <w:tblStylePr w:type="lastRow">
      <w:pPr>
        <w:spacing w:before="0" w:after="0" w:line="240" w:lineRule="auto"/>
      </w:pPr>
      <w:rPr>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styleId="142">
    <w:name w:val="Light List Accent 2"/>
    <w:basedOn w:val="88"/>
    <w:semiHidden/>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styleId="149">
    <w:name w:val="Light Grid Accent 2"/>
    <w:basedOn w:val="88"/>
    <w:semiHidden/>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2">
    <w:name w:val="Medium Shading 2 Accent 1"/>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3">
    <w:name w:val="Medium Shading 2 Accent 2"/>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4">
    <w:name w:val="Medium Shading 2 Accent 3"/>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5">
    <w:name w:val="Medium Shading 2 Accent 4"/>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6">
    <w:name w:val="Medium Shading 2 Accent 5"/>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7">
    <w:name w:val="Medium Shading 2 Accent 6"/>
    <w:basedOn w:val="88"/>
    <w:semiHidden/>
    <w:unhideWhenUsed/>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68">
    <w:name w:val="Medium List 1"/>
    <w:basedOn w:val="88"/>
    <w:semiHidden/>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Pr>
    <w:tblStylePr w:type="firstRow">
      <w:rPr>
        <w:rFonts w:asciiTheme="majorHAnsi" w:hAnsiTheme="majorHAnsi" w:eastAsiaTheme="majorEastAsia" w:cstheme="majorBidi"/>
      </w:rPr>
      <w:tblPr/>
      <w:tcPr>
        <w:tcBorders>
          <w:top w:val="nil"/>
          <w:bottom w:val="single" w:color="5B9BD5" w:themeColor="accent1" w:sz="8" w:space="0"/>
        </w:tcBorders>
      </w:tcPr>
    </w:tblStylePr>
    <w:tblStylePr w:type="lastRow">
      <w:rPr>
        <w:b/>
        <w:bCs/>
        <w:color w:val="44546A" w:themeColor="text2"/>
        <w14:textFill>
          <w14:solidFill>
            <w14:schemeClr w14:val="tx2"/>
          </w14:solidFill>
        </w14:textFill>
      </w:rPr>
      <w:tblPr/>
      <w:tcPr>
        <w:tcBorders>
          <w:top w:val="single" w:color="5B9BD5" w:themeColor="accent1" w:sz="8" w:space="0"/>
          <w:bottom w:val="single" w:color="5B9BD5" w:themeColor="accent1" w:sz="8" w:space="0"/>
        </w:tcBorders>
      </w:tcPr>
    </w:tblStylePr>
    <w:tblStylePr w:type="firstCol">
      <w:rPr>
        <w:b/>
        <w:bCs/>
      </w:rPr>
    </w:tblStylePr>
    <w:tblStylePr w:type="lastCol">
      <w:rPr>
        <w:b/>
        <w:bCs/>
      </w:rPr>
      <w:tblPr/>
      <w:tcPr>
        <w:tcBorders>
          <w:top w:val="single" w:color="5B9BD5" w:themeColor="accent1" w:sz="8" w:space="0"/>
          <w:bottom w:val="single" w:color="5B9BD5" w:themeColor="accent1" w:sz="8" w:space="0"/>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70">
    <w:name w:val="Medium List 1 Accent 2"/>
    <w:basedOn w:val="88"/>
    <w:semiHidden/>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Pr>
    <w:tblStylePr w:type="firstRow">
      <w:rPr>
        <w:sz w:val="24"/>
        <w:szCs w:val="24"/>
      </w:rPr>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Pr>
    <w:tcPr>
      <w:shd w:val="clear" w:color="auto" w:fill="D6E6F4" w:themeFill="accent1" w:themeFillTint="3F"/>
    </w:tcPr>
    <w:tblStylePr w:type="firstRow">
      <w:rPr>
        <w:b/>
        <w:bCs/>
      </w:rPr>
    </w:tblStylePr>
    <w:tblStylePr w:type="lastRow">
      <w:rPr>
        <w:b/>
        <w:bCs/>
      </w:rPr>
      <w:tblPr/>
      <w:tcPr>
        <w:tcBorders>
          <w:top w:val="single" w:color="84B4DF" w:themeColor="accent1" w:themeTint="BF" w:sz="18" w:space="0"/>
        </w:tcBorders>
      </w:tcPr>
    </w:tblStylePr>
    <w:tblStylePr w:type="firstCol">
      <w:rPr>
        <w:b/>
        <w:bCs/>
      </w:rPr>
    </w:tblStylePr>
    <w:tblStylePr w:type="lastCol">
      <w:rPr>
        <w:b/>
        <w:bCs/>
      </w:r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184">
    <w:name w:val="Medium Grid 1 Accent 2"/>
    <w:basedOn w:val="88"/>
    <w:semiHidden/>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Pr>
    <w:tcPr>
      <w:shd w:val="clear" w:color="auto" w:fill="D6E6F4" w:themeFill="accent1" w:themeFillTint="3F"/>
    </w:tcPr>
    <w:tblStylePr w:type="firstRow">
      <w:rPr>
        <w:b/>
        <w:bCs/>
        <w:color w:val="000000" w:themeColor="text1"/>
        <w14:textFill>
          <w14:solidFill>
            <w14:schemeClr w14:val="tx1"/>
          </w14:solidFill>
        </w14:textFill>
      </w:rPr>
      <w:tblPr/>
      <w:tcPr>
        <w:shd w:val="clear" w:color="auto" w:fill="EEF5FA"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DEA" w:themeFill="accent1" w:themeFillTint="7F"/>
      </w:tcPr>
    </w:tblStylePr>
    <w:tblStylePr w:type="band1Horz">
      <w:tblPr/>
      <w:tcPr>
        <w:tcBorders>
          <w:insideH w:val="single" w:sz="6" w:space="0"/>
          <w:insideV w:val="single" w:sz="6" w:space="0"/>
        </w:tcBorders>
        <w:shd w:val="clear" w:color="auto" w:fill="ADCDE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198">
    <w:name w:val="Medium Grid 3 Accent 2"/>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5B9BD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cPr>
        <w:tcBorders>
          <w:top w:val="nil"/>
          <w:left w:val="nil"/>
          <w:bottom w:val="nil"/>
          <w:right w:val="nil"/>
          <w:insideH w:val="nil"/>
          <w:insideV w:val="nil"/>
        </w:tcBorders>
        <w:shd w:val="clear" w:color="auto" w:fill="2E75B5" w:themeFill="accent1" w:themeFillShade="BF"/>
      </w:tcPr>
    </w:tblStylePr>
    <w:tblStylePr w:type="band1Horz">
      <w:tblPr/>
      <w:tcPr>
        <w:tcBorders>
          <w:top w:val="nil"/>
          <w:left w:val="nil"/>
          <w:bottom w:val="nil"/>
          <w:right w:val="nil"/>
          <w:insideH w:val="nil"/>
          <w:insideV w:val="nil"/>
        </w:tcBorders>
        <w:shd w:val="clear" w:color="auto" w:fill="2E75B5" w:themeFill="accent1" w:themeFillShade="BF"/>
      </w:tcPr>
    </w:tblStylePr>
  </w:style>
  <w:style w:type="table" w:styleId="205">
    <w:name w:val="Dark List Accent 2"/>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Pr>
    <w:tcPr>
      <w:shd w:val="clear" w:color="auto" w:fill="EEF5FA"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EF5FA"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19">
    <w:name w:val="Colorful List Accent 2"/>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14:textFill>
          <w14:solidFill>
            <w14:schemeClr w14:val="tx1"/>
          </w14:solidFill>
        </w14:textFill>
      </w:rPr>
      <w:tblPr/>
      <w:tcPr>
        <w:shd w:val="clear" w:color="auto" w:fill="BDD6EE" w:themeFill="accent1" w:themeFillTint="66"/>
      </w:tcPr>
    </w:tblStylePr>
    <w:tblStylePr w:type="firstCol">
      <w:rPr>
        <w:color w:val="FFFFFF" w:themeColor="background1"/>
        <w14:textFill>
          <w14:solidFill>
            <w14:schemeClr w14:val="bg1"/>
          </w14:solidFill>
        </w14:textFill>
      </w:rPr>
      <w:tblPr/>
      <w:tcPr>
        <w:shd w:val="clear" w:color="auto" w:fill="2E75B5" w:themeFill="accent1" w:themeFillShade="BF"/>
      </w:tcPr>
    </w:tblStylePr>
    <w:tblStylePr w:type="lastCol">
      <w:rPr>
        <w:color w:val="FFFFFF" w:themeColor="background1"/>
        <w14:textFill>
          <w14:solidFill>
            <w14:schemeClr w14:val="bg1"/>
          </w14:solidFill>
        </w14:textFill>
      </w:rPr>
      <w:tblPr/>
      <w:tcPr>
        <w:shd w:val="clear" w:color="auto" w:fill="2E75B5" w:themeFill="accent1" w:themeFillShade="BF"/>
      </w:tcPr>
    </w:tblStylePr>
    <w:tblStylePr w:type="band1Vert">
      <w:tblPr/>
      <w:tcPr>
        <w:shd w:val="clear" w:color="auto" w:fill="ADCDEA" w:themeFill="accent1" w:themeFillTint="7F"/>
      </w:tcPr>
    </w:tblStylePr>
    <w:tblStylePr w:type="band1Horz">
      <w:tblPr/>
      <w:tcPr>
        <w:shd w:val="clear" w:color="auto" w:fill="ADCDEA" w:themeFill="accent1" w:themeFillTint="7F"/>
      </w:tcPr>
    </w:tblStylePr>
  </w:style>
  <w:style w:type="table" w:styleId="226">
    <w:name w:val="Colorful Grid Accent 2"/>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qFormat/>
    <w:uiPriority w:val="22"/>
    <w:rPr>
      <w:b/>
      <w:bCs/>
    </w:rPr>
  </w:style>
  <w:style w:type="character" w:styleId="233">
    <w:name w:val="endnote reference"/>
    <w:basedOn w:val="231"/>
    <w:semiHidden/>
    <w:unhideWhenUsed/>
    <w:qFormat/>
    <w:uiPriority w:val="99"/>
    <w:rPr>
      <w:vertAlign w:val="superscript"/>
    </w:rPr>
  </w:style>
  <w:style w:type="character" w:styleId="234">
    <w:name w:val="page number"/>
    <w:basedOn w:val="231"/>
    <w:semiHidden/>
    <w:qFormat/>
    <w:uiPriority w:val="0"/>
    <w:rPr>
      <w:rFonts w:ascii="Times New Roman" w:hAnsi="Times New Roman" w:eastAsia="宋体"/>
      <w:sz w:val="18"/>
    </w:rPr>
  </w:style>
  <w:style w:type="character" w:styleId="235">
    <w:name w:val="FollowedHyperlink"/>
    <w:basedOn w:val="231"/>
    <w:semiHidden/>
    <w:unhideWhenUsed/>
    <w:qFormat/>
    <w:uiPriority w:val="99"/>
    <w:rPr>
      <w:color w:val="954F72" w:themeColor="followedHyperlink"/>
      <w:u w:val="single"/>
      <w14:textFill>
        <w14:solidFill>
          <w14:schemeClr w14:val="folHlink"/>
        </w14:solidFill>
      </w14:textFill>
    </w:rPr>
  </w:style>
  <w:style w:type="character" w:styleId="236">
    <w:name w:val="Emphasis"/>
    <w:basedOn w:val="231"/>
    <w:qFormat/>
    <w:uiPriority w:val="20"/>
    <w:rPr>
      <w:i/>
      <w:iCs/>
    </w:rPr>
  </w:style>
  <w:style w:type="character" w:styleId="237">
    <w:name w:val="line number"/>
    <w:basedOn w:val="231"/>
    <w:semiHidden/>
    <w:unhideWhenUsed/>
    <w:qFormat/>
    <w:uiPriority w:val="99"/>
  </w:style>
  <w:style w:type="character" w:styleId="238">
    <w:name w:val="HTML Definition"/>
    <w:basedOn w:val="231"/>
    <w:semiHidden/>
    <w:qFormat/>
    <w:uiPriority w:val="0"/>
    <w:rPr>
      <w:i/>
      <w:iCs/>
    </w:rPr>
  </w:style>
  <w:style w:type="character" w:styleId="239">
    <w:name w:val="HTML Typewriter"/>
    <w:basedOn w:val="231"/>
    <w:semiHidden/>
    <w:qFormat/>
    <w:uiPriority w:val="0"/>
    <w:rPr>
      <w:rFonts w:ascii="Courier New" w:hAnsi="Courier New"/>
      <w:sz w:val="20"/>
      <w:szCs w:val="20"/>
    </w:rPr>
  </w:style>
  <w:style w:type="character" w:styleId="240">
    <w:name w:val="HTML Acronym"/>
    <w:basedOn w:val="231"/>
    <w:semiHidden/>
    <w:qFormat/>
    <w:uiPriority w:val="0"/>
  </w:style>
  <w:style w:type="character" w:styleId="241">
    <w:name w:val="HTML Variable"/>
    <w:basedOn w:val="231"/>
    <w:semiHidden/>
    <w:qFormat/>
    <w:uiPriority w:val="0"/>
    <w:rPr>
      <w:i/>
      <w:iCs/>
    </w:rPr>
  </w:style>
  <w:style w:type="character" w:styleId="242">
    <w:name w:val="Hyperlink"/>
    <w:qFormat/>
    <w:uiPriority w:val="99"/>
    <w:rPr>
      <w:rFonts w:ascii="Times New Roman" w:hAnsi="Times New Roman" w:eastAsia="宋体"/>
      <w:color w:val="auto"/>
      <w:spacing w:val="0"/>
      <w:w w:val="100"/>
      <w:position w:val="0"/>
      <w:sz w:val="21"/>
      <w:u w:val="none"/>
      <w:vertAlign w:val="baseline"/>
    </w:rPr>
  </w:style>
  <w:style w:type="character" w:styleId="243">
    <w:name w:val="HTML Code"/>
    <w:basedOn w:val="231"/>
    <w:semiHidden/>
    <w:qFormat/>
    <w:uiPriority w:val="0"/>
    <w:rPr>
      <w:rFonts w:ascii="Courier New" w:hAnsi="Courier New"/>
      <w:sz w:val="20"/>
      <w:szCs w:val="20"/>
    </w:rPr>
  </w:style>
  <w:style w:type="character" w:styleId="244">
    <w:name w:val="annotation reference"/>
    <w:basedOn w:val="231"/>
    <w:semiHidden/>
    <w:unhideWhenUsed/>
    <w:qFormat/>
    <w:uiPriority w:val="99"/>
    <w:rPr>
      <w:sz w:val="21"/>
      <w:szCs w:val="21"/>
    </w:rPr>
  </w:style>
  <w:style w:type="character" w:styleId="245">
    <w:name w:val="HTML Cite"/>
    <w:basedOn w:val="231"/>
    <w:semiHidden/>
    <w:qFormat/>
    <w:uiPriority w:val="0"/>
    <w:rPr>
      <w:i/>
      <w:iCs/>
    </w:rPr>
  </w:style>
  <w:style w:type="character" w:styleId="246">
    <w:name w:val="footnote reference"/>
    <w:basedOn w:val="231"/>
    <w:semiHidden/>
    <w:qFormat/>
    <w:uiPriority w:val="0"/>
    <w:rPr>
      <w:vertAlign w:val="superscript"/>
    </w:rPr>
  </w:style>
  <w:style w:type="character" w:styleId="247">
    <w:name w:val="HTML Keyboard"/>
    <w:basedOn w:val="231"/>
    <w:semiHidden/>
    <w:qFormat/>
    <w:uiPriority w:val="0"/>
    <w:rPr>
      <w:rFonts w:ascii="Courier New" w:hAnsi="Courier New"/>
      <w:sz w:val="20"/>
      <w:szCs w:val="20"/>
    </w:rPr>
  </w:style>
  <w:style w:type="character" w:styleId="248">
    <w:name w:val="HTML Sample"/>
    <w:basedOn w:val="231"/>
    <w:semiHidden/>
    <w:qFormat/>
    <w:uiPriority w:val="0"/>
    <w:rPr>
      <w:rFonts w:ascii="Courier New" w:hAnsi="Courier New"/>
    </w:rPr>
  </w:style>
  <w:style w:type="paragraph" w:customStyle="1" w:styleId="24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5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5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3">
    <w:name w:val="标准书眉_奇数页"/>
    <w:next w:val="1"/>
    <w:qFormat/>
    <w:uiPriority w:val="0"/>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254">
    <w:name w:val="标准书眉_偶数页"/>
    <w:basedOn w:val="253"/>
    <w:next w:val="1"/>
    <w:qFormat/>
    <w:uiPriority w:val="0"/>
    <w:pPr>
      <w:jc w:val="left"/>
    </w:pPr>
  </w:style>
  <w:style w:type="paragraph" w:customStyle="1" w:styleId="255">
    <w:name w:val="标准书眉一"/>
    <w:qFormat/>
    <w:uiPriority w:val="0"/>
    <w:pPr>
      <w:jc w:val="both"/>
    </w:pPr>
    <w:rPr>
      <w:rFonts w:ascii="Times New Roman" w:hAnsi="Times New Roman" w:eastAsia="宋体" w:cs="Times New Roman"/>
      <w:lang w:val="en-US" w:eastAsia="zh-CN" w:bidi="ar-SA"/>
    </w:rPr>
  </w:style>
  <w:style w:type="paragraph" w:customStyle="1" w:styleId="25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7">
    <w:name w:val="参考文献、索引标题"/>
    <w:basedOn w:val="256"/>
    <w:next w:val="1"/>
    <w:qFormat/>
    <w:uiPriority w:val="0"/>
    <w:pPr>
      <w:spacing w:after="200"/>
    </w:pPr>
    <w:rPr>
      <w:sz w:val="21"/>
    </w:rPr>
  </w:style>
  <w:style w:type="paragraph" w:customStyle="1" w:styleId="258">
    <w:name w:val="段"/>
    <w:qFormat/>
    <w:uiPriority w:val="0"/>
    <w:pPr>
      <w:ind w:firstLine="200" w:firstLineChars="200"/>
      <w:jc w:val="both"/>
    </w:pPr>
    <w:rPr>
      <w:rFonts w:ascii="宋体" w:hAnsi="Times New Roman" w:eastAsia="宋体" w:cs="Times New Roman"/>
      <w:sz w:val="21"/>
      <w:lang w:val="en-US" w:eastAsia="zh-CN" w:bidi="ar-SA"/>
    </w:rPr>
  </w:style>
  <w:style w:type="paragraph" w:customStyle="1" w:styleId="259">
    <w:name w:val="章标题"/>
    <w:next w:val="258"/>
    <w:qFormat/>
    <w:uiPriority w:val="0"/>
    <w:pPr>
      <w:numPr>
        <w:ilvl w:val="0"/>
        <w:numId w:val="1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60">
    <w:name w:val="一级条标题"/>
    <w:next w:val="258"/>
    <w:qFormat/>
    <w:uiPriority w:val="0"/>
    <w:pPr>
      <w:numPr>
        <w:ilvl w:val="1"/>
        <w:numId w:val="1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61">
    <w:name w:val="二级条标题"/>
    <w:basedOn w:val="260"/>
    <w:next w:val="258"/>
    <w:qFormat/>
    <w:uiPriority w:val="0"/>
    <w:pPr>
      <w:numPr>
        <w:ilvl w:val="2"/>
      </w:numPr>
      <w:spacing w:before="50" w:after="50"/>
      <w:outlineLvl w:val="3"/>
    </w:pPr>
  </w:style>
  <w:style w:type="character" w:customStyle="1" w:styleId="262">
    <w:name w:val="发布_1"/>
    <w:basedOn w:val="231"/>
    <w:qFormat/>
    <w:uiPriority w:val="0"/>
    <w:rPr>
      <w:rFonts w:ascii="黑体" w:eastAsia="黑体"/>
      <w:spacing w:val="22"/>
      <w:w w:val="100"/>
      <w:position w:val="3"/>
      <w:sz w:val="28"/>
    </w:rPr>
  </w:style>
  <w:style w:type="paragraph" w:customStyle="1" w:styleId="263">
    <w:name w:val="发布部门GB"/>
    <w:next w:val="25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64">
    <w:name w:val="发布日期"/>
    <w:qFormat/>
    <w:uiPriority w:val="0"/>
    <w:rPr>
      <w:rFonts w:ascii="黑体" w:hAnsi="黑体" w:eastAsia="黑体" w:cs="Times New Roman"/>
      <w:sz w:val="28"/>
      <w:lang w:val="en-US" w:eastAsia="zh-CN" w:bidi="ar-SA"/>
    </w:rPr>
  </w:style>
  <w:style w:type="paragraph" w:customStyle="1" w:styleId="26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66">
    <w:name w:val="封面标准号2"/>
    <w:basedOn w:val="265"/>
    <w:qFormat/>
    <w:uiPriority w:val="0"/>
    <w:pPr>
      <w:adjustRightInd w:val="0"/>
      <w:spacing w:before="357" w:line="280" w:lineRule="exact"/>
    </w:pPr>
  </w:style>
  <w:style w:type="paragraph" w:customStyle="1" w:styleId="267">
    <w:name w:val="封面标准代替信息"/>
    <w:basedOn w:val="266"/>
    <w:qFormat/>
    <w:uiPriority w:val="0"/>
    <w:pPr>
      <w:spacing w:before="0" w:line="360" w:lineRule="exact"/>
    </w:pPr>
    <w:rPr>
      <w:rFonts w:hAnsi="黑体"/>
      <w:sz w:val="21"/>
    </w:rPr>
  </w:style>
  <w:style w:type="paragraph" w:customStyle="1" w:styleId="2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7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7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7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73">
    <w:name w:val="封面正文"/>
    <w:qFormat/>
    <w:uiPriority w:val="0"/>
    <w:pPr>
      <w:jc w:val="both"/>
    </w:pPr>
    <w:rPr>
      <w:rFonts w:ascii="Times New Roman" w:hAnsi="Times New Roman" w:eastAsia="宋体" w:cs="Times New Roman"/>
      <w:lang w:val="en-US" w:eastAsia="zh-CN" w:bidi="ar-SA"/>
    </w:rPr>
  </w:style>
  <w:style w:type="paragraph" w:customStyle="1" w:styleId="27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75">
    <w:name w:val="附录表标题"/>
    <w:basedOn w:val="1"/>
    <w:next w:val="1"/>
    <w:qFormat/>
    <w:uiPriority w:val="0"/>
    <w:pPr>
      <w:numPr>
        <w:ilvl w:val="1"/>
        <w:numId w:val="13"/>
      </w:numPr>
      <w:spacing w:before="50" w:beforeLines="50" w:after="50" w:afterLines="50"/>
      <w:jc w:val="center"/>
    </w:pPr>
    <w:rPr>
      <w:rFonts w:ascii="黑体" w:eastAsia="黑体"/>
      <w:szCs w:val="21"/>
    </w:rPr>
  </w:style>
  <w:style w:type="paragraph" w:customStyle="1" w:styleId="276">
    <w:name w:val="附录章标题"/>
    <w:next w:val="258"/>
    <w:qFormat/>
    <w:uiPriority w:val="0"/>
    <w:pPr>
      <w:numPr>
        <w:ilvl w:val="1"/>
        <w:numId w:val="12"/>
      </w:numPr>
      <w:wordWrap w:val="0"/>
      <w:overflowPunct w:val="0"/>
      <w:autoSpaceDE w:val="0"/>
      <w:spacing w:before="50" w:beforeLines="50" w:after="50" w:afterLines="50"/>
      <w:jc w:val="both"/>
      <w:textAlignment w:val="baseline"/>
      <w:outlineLvl w:val="2"/>
    </w:pPr>
    <w:rPr>
      <w:rFonts w:ascii="黑体" w:hAnsi="Times New Roman" w:eastAsia="黑体" w:cs="Times New Roman"/>
      <w:kern w:val="21"/>
      <w:sz w:val="21"/>
      <w:lang w:val="en-US" w:eastAsia="zh-CN" w:bidi="ar-SA"/>
    </w:rPr>
  </w:style>
  <w:style w:type="paragraph" w:customStyle="1" w:styleId="277">
    <w:name w:val="附录一级条标题"/>
    <w:basedOn w:val="276"/>
    <w:next w:val="258"/>
    <w:qFormat/>
    <w:uiPriority w:val="0"/>
    <w:pPr>
      <w:numPr>
        <w:ilvl w:val="2"/>
      </w:numPr>
      <w:autoSpaceDN w:val="0"/>
    </w:pPr>
  </w:style>
  <w:style w:type="paragraph" w:customStyle="1" w:styleId="278">
    <w:name w:val="附录二级条标题"/>
    <w:basedOn w:val="1"/>
    <w:next w:val="258"/>
    <w:qFormat/>
    <w:uiPriority w:val="0"/>
    <w:pPr>
      <w:widowControl/>
      <w:numPr>
        <w:ilvl w:val="3"/>
        <w:numId w:val="12"/>
      </w:numPr>
      <w:wordWrap w:val="0"/>
      <w:overflowPunct w:val="0"/>
      <w:autoSpaceDE w:val="0"/>
      <w:autoSpaceDN w:val="0"/>
      <w:spacing w:before="50" w:beforeLines="50" w:after="50" w:afterLines="50"/>
      <w:textAlignment w:val="baseline"/>
      <w:outlineLvl w:val="2"/>
    </w:pPr>
    <w:rPr>
      <w:rFonts w:ascii="黑体" w:eastAsia="黑体"/>
      <w:kern w:val="21"/>
      <w:szCs w:val="20"/>
    </w:rPr>
  </w:style>
  <w:style w:type="paragraph" w:customStyle="1" w:styleId="279">
    <w:name w:val="附录三级条标题"/>
    <w:basedOn w:val="278"/>
    <w:next w:val="258"/>
    <w:qFormat/>
    <w:uiPriority w:val="0"/>
    <w:pPr>
      <w:numPr>
        <w:ilvl w:val="4"/>
      </w:numPr>
    </w:pPr>
  </w:style>
  <w:style w:type="paragraph" w:customStyle="1" w:styleId="280">
    <w:name w:val="附录四级条标题"/>
    <w:basedOn w:val="279"/>
    <w:next w:val="258"/>
    <w:qFormat/>
    <w:uiPriority w:val="0"/>
    <w:pPr>
      <w:numPr>
        <w:ilvl w:val="5"/>
      </w:numPr>
    </w:pPr>
  </w:style>
  <w:style w:type="paragraph" w:customStyle="1" w:styleId="281">
    <w:name w:val="附录图标题"/>
    <w:basedOn w:val="1"/>
    <w:next w:val="1"/>
    <w:qFormat/>
    <w:uiPriority w:val="0"/>
    <w:pPr>
      <w:numPr>
        <w:ilvl w:val="1"/>
        <w:numId w:val="14"/>
      </w:numPr>
      <w:spacing w:before="50" w:beforeLines="50" w:after="50" w:afterLines="50"/>
      <w:jc w:val="center"/>
    </w:pPr>
    <w:rPr>
      <w:rFonts w:ascii="黑体" w:eastAsia="黑体"/>
      <w:szCs w:val="21"/>
    </w:rPr>
  </w:style>
  <w:style w:type="paragraph" w:customStyle="1" w:styleId="282">
    <w:name w:val="附录五级条标题"/>
    <w:basedOn w:val="280"/>
    <w:next w:val="258"/>
    <w:qFormat/>
    <w:uiPriority w:val="0"/>
    <w:pPr>
      <w:numPr>
        <w:ilvl w:val="6"/>
      </w:numPr>
      <w:outlineLvl w:val="6"/>
    </w:pPr>
  </w:style>
  <w:style w:type="character" w:customStyle="1" w:styleId="283">
    <w:name w:val="个人答复风格"/>
    <w:basedOn w:val="231"/>
    <w:qFormat/>
    <w:uiPriority w:val="0"/>
    <w:rPr>
      <w:rFonts w:ascii="Arial" w:hAnsi="Arial" w:eastAsia="宋体" w:cs="Arial"/>
      <w:color w:val="auto"/>
      <w:sz w:val="20"/>
    </w:rPr>
  </w:style>
  <w:style w:type="character" w:customStyle="1" w:styleId="284">
    <w:name w:val="个人撰写风格"/>
    <w:basedOn w:val="231"/>
    <w:qFormat/>
    <w:uiPriority w:val="0"/>
    <w:rPr>
      <w:rFonts w:ascii="Arial" w:hAnsi="Arial" w:eastAsia="宋体" w:cs="Arial"/>
      <w:color w:val="auto"/>
      <w:sz w:val="20"/>
    </w:rPr>
  </w:style>
  <w:style w:type="paragraph" w:customStyle="1" w:styleId="285">
    <w:name w:val="列项——"/>
    <w:qFormat/>
    <w:uiPriority w:val="0"/>
    <w:pPr>
      <w:widowControl w:val="0"/>
      <w:numPr>
        <w:ilvl w:val="0"/>
        <w:numId w:val="15"/>
      </w:numPr>
      <w:jc w:val="both"/>
    </w:pPr>
    <w:rPr>
      <w:rFonts w:ascii="宋体" w:hAnsi="Times New Roman" w:eastAsia="宋体" w:cs="Times New Roman"/>
      <w:sz w:val="21"/>
      <w:lang w:val="en-US" w:eastAsia="zh-CN" w:bidi="ar-SA"/>
    </w:rPr>
  </w:style>
  <w:style w:type="paragraph" w:customStyle="1" w:styleId="286">
    <w:name w:val="目次、标准名称标题"/>
    <w:basedOn w:val="256"/>
    <w:next w:val="258"/>
    <w:qFormat/>
    <w:uiPriority w:val="0"/>
    <w:pPr>
      <w:spacing w:line="460" w:lineRule="exact"/>
      <w:outlineLvl w:val="9"/>
    </w:pPr>
  </w:style>
  <w:style w:type="paragraph" w:customStyle="1" w:styleId="2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8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89">
    <w:name w:val="其他发布部门"/>
    <w:basedOn w:val="263"/>
    <w:qFormat/>
    <w:uiPriority w:val="0"/>
    <w:pPr>
      <w:framePr w:wrap="around" w:vAnchor="margin" w:hAnchor="text" w:y="1"/>
      <w:spacing w:line="0" w:lineRule="atLeast"/>
    </w:pPr>
    <w:rPr>
      <w:rFonts w:ascii="黑体" w:eastAsia="黑体"/>
      <w:b w:val="0"/>
    </w:rPr>
  </w:style>
  <w:style w:type="paragraph" w:customStyle="1" w:styleId="290">
    <w:name w:val="三级条标题"/>
    <w:basedOn w:val="261"/>
    <w:next w:val="258"/>
    <w:qFormat/>
    <w:uiPriority w:val="0"/>
    <w:pPr>
      <w:numPr>
        <w:ilvl w:val="3"/>
      </w:numPr>
      <w:outlineLvl w:val="4"/>
    </w:pPr>
  </w:style>
  <w:style w:type="paragraph" w:customStyle="1" w:styleId="291">
    <w:name w:val="实施日期"/>
    <w:basedOn w:val="264"/>
    <w:qFormat/>
    <w:uiPriority w:val="0"/>
    <w:pPr>
      <w:jc w:val="right"/>
    </w:pPr>
  </w:style>
  <w:style w:type="paragraph" w:customStyle="1" w:styleId="292">
    <w:name w:val="示例"/>
    <w:next w:val="29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93">
    <w:name w:val="示例段"/>
    <w:basedOn w:val="258"/>
    <w:qFormat/>
    <w:uiPriority w:val="0"/>
    <w:pPr>
      <w:ind w:firstLine="420"/>
    </w:pPr>
    <w:rPr>
      <w:sz w:val="18"/>
    </w:rPr>
  </w:style>
  <w:style w:type="paragraph" w:customStyle="1" w:styleId="29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95">
    <w:name w:val="四级条标题"/>
    <w:basedOn w:val="290"/>
    <w:next w:val="258"/>
    <w:qFormat/>
    <w:uiPriority w:val="0"/>
    <w:pPr>
      <w:numPr>
        <w:ilvl w:val="4"/>
      </w:numPr>
      <w:outlineLvl w:val="5"/>
    </w:pPr>
  </w:style>
  <w:style w:type="paragraph" w:customStyle="1" w:styleId="296">
    <w:name w:val="条文脚注"/>
    <w:basedOn w:val="69"/>
    <w:link w:val="331"/>
    <w:qFormat/>
    <w:uiPriority w:val="0"/>
    <w:pPr>
      <w:numPr>
        <w:ilvl w:val="0"/>
        <w:numId w:val="18"/>
      </w:numPr>
      <w:ind w:firstLine="0" w:firstLineChars="0"/>
      <w:jc w:val="both"/>
    </w:pPr>
    <w:rPr>
      <w:rFonts w:ascii="宋体"/>
    </w:rPr>
  </w:style>
  <w:style w:type="paragraph" w:customStyle="1" w:styleId="297">
    <w:name w:val="图表脚注"/>
    <w:next w:val="2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99">
    <w:name w:val="无标题条"/>
    <w:next w:val="258"/>
    <w:qFormat/>
    <w:uiPriority w:val="0"/>
    <w:pPr>
      <w:jc w:val="both"/>
    </w:pPr>
    <w:rPr>
      <w:rFonts w:ascii="Times New Roman" w:hAnsi="Times New Roman" w:eastAsia="宋体" w:cs="Times New Roman"/>
      <w:sz w:val="21"/>
      <w:lang w:val="en-US" w:eastAsia="zh-CN" w:bidi="ar-SA"/>
    </w:rPr>
  </w:style>
  <w:style w:type="paragraph" w:customStyle="1" w:styleId="300">
    <w:name w:val="五级条标题"/>
    <w:basedOn w:val="295"/>
    <w:next w:val="258"/>
    <w:qFormat/>
    <w:uiPriority w:val="0"/>
    <w:pPr>
      <w:numPr>
        <w:ilvl w:val="5"/>
      </w:numPr>
      <w:outlineLvl w:val="6"/>
    </w:pPr>
  </w:style>
  <w:style w:type="paragraph" w:customStyle="1" w:styleId="301">
    <w:name w:val="正文表标题"/>
    <w:next w:val="258"/>
    <w:qFormat/>
    <w:uiPriority w:val="0"/>
    <w:pPr>
      <w:numPr>
        <w:ilvl w:val="1"/>
        <w:numId w:val="19"/>
      </w:numPr>
      <w:tabs>
        <w:tab w:val="left" w:pos="360"/>
      </w:tabs>
      <w:spacing w:before="156" w:beforeLines="50" w:after="156" w:afterLines="50"/>
      <w:jc w:val="center"/>
    </w:pPr>
    <w:rPr>
      <w:rFonts w:ascii="黑体" w:hAnsi="Times New Roman" w:eastAsia="黑体" w:cs="Times New Roman"/>
      <w:sz w:val="21"/>
      <w:szCs w:val="21"/>
      <w:lang w:val="en-US" w:eastAsia="zh-CN" w:bidi="ar-SA"/>
    </w:rPr>
  </w:style>
  <w:style w:type="paragraph" w:customStyle="1" w:styleId="302">
    <w:name w:val="正文图标题"/>
    <w:basedOn w:val="301"/>
    <w:next w:val="258"/>
    <w:qFormat/>
    <w:uiPriority w:val="0"/>
    <w:pPr>
      <w:numPr>
        <w:ilvl w:val="0"/>
        <w:numId w:val="20"/>
      </w:numPr>
      <w:tabs>
        <w:tab w:val="clear" w:pos="360"/>
      </w:tabs>
    </w:pPr>
  </w:style>
  <w:style w:type="paragraph" w:customStyle="1" w:styleId="30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304">
    <w:name w:val="注×："/>
    <w:qFormat/>
    <w:uiPriority w:val="0"/>
    <w:pPr>
      <w:widowControl w:val="0"/>
      <w:numPr>
        <w:ilvl w:val="0"/>
        <w:numId w:val="22"/>
      </w:numPr>
      <w:autoSpaceDE w:val="0"/>
      <w:autoSpaceDN w:val="0"/>
      <w:jc w:val="both"/>
    </w:pPr>
    <w:rPr>
      <w:rFonts w:hAnsi="Times New Roman" w:cs="Times New Roman" w:asciiTheme="minorEastAsia" w:eastAsiaTheme="minorEastAsia"/>
      <w:sz w:val="18"/>
      <w:szCs w:val="18"/>
      <w:lang w:val="en-US" w:eastAsia="zh-CN" w:bidi="ar-SA"/>
    </w:rPr>
  </w:style>
  <w:style w:type="paragraph" w:customStyle="1" w:styleId="30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306">
    <w:name w:val="示例×："/>
    <w:basedOn w:val="1"/>
    <w:next w:val="293"/>
    <w:qFormat/>
    <w:uiPriority w:val="0"/>
    <w:pPr>
      <w:widowControl/>
      <w:numPr>
        <w:ilvl w:val="0"/>
        <w:numId w:val="23"/>
      </w:numPr>
    </w:pPr>
    <w:rPr>
      <w:rFonts w:ascii="宋体"/>
      <w:kern w:val="0"/>
      <w:sz w:val="18"/>
      <w:szCs w:val="18"/>
    </w:rPr>
  </w:style>
  <w:style w:type="paragraph" w:customStyle="1" w:styleId="307">
    <w:name w:val="工程建设章标题"/>
    <w:next w:val="258"/>
    <w:qFormat/>
    <w:uiPriority w:val="0"/>
    <w:pPr>
      <w:numPr>
        <w:ilvl w:val="1"/>
        <w:numId w:val="24"/>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308">
    <w:name w:val="工程建设节标题"/>
    <w:basedOn w:val="307"/>
    <w:next w:val="258"/>
    <w:qFormat/>
    <w:uiPriority w:val="0"/>
    <w:pPr>
      <w:numPr>
        <w:ilvl w:val="2"/>
      </w:numPr>
      <w:spacing w:before="400" w:after="400" w:line="240" w:lineRule="auto"/>
      <w:outlineLvl w:val="2"/>
    </w:pPr>
    <w:rPr>
      <w:sz w:val="21"/>
    </w:rPr>
  </w:style>
  <w:style w:type="paragraph" w:customStyle="1" w:styleId="309">
    <w:name w:val="工程建设条标题"/>
    <w:basedOn w:val="308"/>
    <w:next w:val="258"/>
    <w:qFormat/>
    <w:uiPriority w:val="0"/>
    <w:pPr>
      <w:numPr>
        <w:ilvl w:val="3"/>
      </w:numPr>
      <w:spacing w:before="0" w:after="0"/>
      <w:jc w:val="left"/>
      <w:outlineLvl w:val="3"/>
    </w:pPr>
    <w:rPr>
      <w:b w:val="0"/>
    </w:rPr>
  </w:style>
  <w:style w:type="paragraph" w:customStyle="1" w:styleId="310">
    <w:name w:val="工程建设表标题"/>
    <w:basedOn w:val="309"/>
    <w:qFormat/>
    <w:uiPriority w:val="0"/>
    <w:pPr>
      <w:numPr>
        <w:ilvl w:val="4"/>
      </w:numPr>
      <w:jc w:val="center"/>
      <w:outlineLvl w:val="4"/>
    </w:pPr>
  </w:style>
  <w:style w:type="paragraph" w:customStyle="1" w:styleId="311">
    <w:name w:val="工程建设图标题"/>
    <w:basedOn w:val="309"/>
    <w:qFormat/>
    <w:uiPriority w:val="0"/>
    <w:pPr>
      <w:numPr>
        <w:ilvl w:val="5"/>
      </w:numPr>
      <w:jc w:val="center"/>
      <w:outlineLvl w:val="5"/>
    </w:pPr>
  </w:style>
  <w:style w:type="paragraph" w:customStyle="1" w:styleId="312">
    <w:name w:val="工程建设公式标题"/>
    <w:basedOn w:val="309"/>
    <w:qFormat/>
    <w:uiPriority w:val="0"/>
    <w:pPr>
      <w:numPr>
        <w:ilvl w:val="6"/>
      </w:numPr>
      <w:jc w:val="center"/>
      <w:outlineLvl w:val="6"/>
    </w:pPr>
  </w:style>
  <w:style w:type="paragraph" w:customStyle="1" w:styleId="313">
    <w:name w:val="工程建设无节条标题"/>
    <w:basedOn w:val="1"/>
    <w:next w:val="258"/>
    <w:qFormat/>
    <w:uiPriority w:val="0"/>
    <w:pPr>
      <w:numPr>
        <w:ilvl w:val="8"/>
        <w:numId w:val="24"/>
      </w:numPr>
      <w:tabs>
        <w:tab w:val="clear" w:pos="720"/>
      </w:tabs>
      <w:outlineLvl w:val="3"/>
    </w:pPr>
  </w:style>
  <w:style w:type="paragraph" w:customStyle="1" w:styleId="314">
    <w:name w:val="工程建设款标题"/>
    <w:basedOn w:val="309"/>
    <w:qFormat/>
    <w:uiPriority w:val="0"/>
    <w:pPr>
      <w:numPr>
        <w:ilvl w:val="7"/>
      </w:numPr>
      <w:outlineLvl w:val="9"/>
    </w:pPr>
  </w:style>
  <w:style w:type="paragraph" w:customStyle="1" w:styleId="315">
    <w:name w:val="名称"/>
    <w:basedOn w:val="256"/>
    <w:next w:val="258"/>
    <w:qFormat/>
    <w:uiPriority w:val="0"/>
    <w:pPr>
      <w:spacing w:line="460" w:lineRule="exact"/>
      <w:outlineLvl w:val="9"/>
    </w:pPr>
  </w:style>
  <w:style w:type="paragraph" w:customStyle="1" w:styleId="316">
    <w:name w:val="正文表标题续表"/>
    <w:basedOn w:val="301"/>
    <w:next w:val="258"/>
    <w:qFormat/>
    <w:uiPriority w:val="0"/>
    <w:pPr>
      <w:numPr>
        <w:ilvl w:val="2"/>
      </w:numPr>
    </w:pPr>
  </w:style>
  <w:style w:type="paragraph" w:customStyle="1" w:styleId="317">
    <w:name w:val="附录表标题续表"/>
    <w:basedOn w:val="275"/>
    <w:next w:val="258"/>
    <w:qFormat/>
    <w:uiPriority w:val="0"/>
    <w:pPr>
      <w:numPr>
        <w:ilvl w:val="2"/>
      </w:numPr>
    </w:pPr>
  </w:style>
  <w:style w:type="paragraph" w:customStyle="1" w:styleId="318">
    <w:name w:val="术语定义二级条标题"/>
    <w:basedOn w:val="261"/>
    <w:next w:val="258"/>
    <w:qFormat/>
    <w:uiPriority w:val="0"/>
    <w:pPr>
      <w:spacing w:before="0" w:beforeLines="0" w:after="0" w:afterLines="0"/>
      <w:outlineLvl w:val="9"/>
    </w:pPr>
  </w:style>
  <w:style w:type="paragraph" w:customStyle="1" w:styleId="319">
    <w:name w:val="术语定义三级条标题"/>
    <w:basedOn w:val="290"/>
    <w:next w:val="258"/>
    <w:qFormat/>
    <w:uiPriority w:val="0"/>
    <w:pPr>
      <w:spacing w:before="0" w:beforeLines="0" w:after="0" w:afterLines="0"/>
      <w:outlineLvl w:val="9"/>
    </w:pPr>
  </w:style>
  <w:style w:type="paragraph" w:customStyle="1" w:styleId="320">
    <w:name w:val="式中"/>
    <w:qFormat/>
    <w:uiPriority w:val="0"/>
    <w:pPr>
      <w:ind w:left="200" w:leftChars="200"/>
    </w:pPr>
    <w:rPr>
      <w:rFonts w:ascii="宋体" w:hAnsi="Times New Roman" w:eastAsia="宋体" w:cs="Times New Roman"/>
      <w:sz w:val="21"/>
      <w:lang w:val="en-US" w:eastAsia="zh-CN" w:bidi="ar-SA"/>
    </w:rPr>
  </w:style>
  <w:style w:type="paragraph" w:customStyle="1" w:styleId="321">
    <w:name w:val="术语定义四级条标题"/>
    <w:basedOn w:val="295"/>
    <w:next w:val="258"/>
    <w:qFormat/>
    <w:uiPriority w:val="0"/>
    <w:pPr>
      <w:spacing w:before="0" w:beforeLines="0" w:after="0" w:afterLines="0"/>
      <w:outlineLvl w:val="9"/>
    </w:pPr>
  </w:style>
  <w:style w:type="paragraph" w:customStyle="1" w:styleId="322">
    <w:name w:val="术语定义五级条标题"/>
    <w:basedOn w:val="300"/>
    <w:next w:val="258"/>
    <w:qFormat/>
    <w:uiPriority w:val="0"/>
    <w:pPr>
      <w:spacing w:before="0" w:beforeLines="0" w:after="0" w:afterLines="0"/>
      <w:outlineLvl w:val="9"/>
    </w:pPr>
  </w:style>
  <w:style w:type="paragraph" w:customStyle="1" w:styleId="323">
    <w:name w:val="术语定义一级条标题"/>
    <w:basedOn w:val="260"/>
    <w:next w:val="258"/>
    <w:qFormat/>
    <w:uiPriority w:val="0"/>
    <w:pPr>
      <w:spacing w:before="0" w:beforeLines="0" w:after="0" w:afterLines="0"/>
      <w:outlineLvl w:val="9"/>
    </w:pPr>
  </w:style>
  <w:style w:type="paragraph" w:customStyle="1" w:styleId="324">
    <w:name w:val="条文说明"/>
    <w:basedOn w:val="315"/>
    <w:qFormat/>
    <w:uiPriority w:val="0"/>
  </w:style>
  <w:style w:type="paragraph" w:customStyle="1" w:styleId="325">
    <w:name w:val="列项·"/>
    <w:qFormat/>
    <w:uiPriority w:val="0"/>
    <w:pPr>
      <w:numPr>
        <w:ilvl w:val="0"/>
        <w:numId w:val="25"/>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26">
    <w:name w:val="二级无标题条"/>
    <w:basedOn w:val="261"/>
    <w:qFormat/>
    <w:uiPriority w:val="0"/>
    <w:pPr>
      <w:spacing w:before="0" w:beforeLines="0" w:after="0" w:afterLines="0"/>
      <w:jc w:val="both"/>
      <w:outlineLvl w:val="9"/>
    </w:pPr>
    <w:rPr>
      <w:rFonts w:asciiTheme="majorEastAsia" w:eastAsiaTheme="majorEastAsia"/>
    </w:rPr>
  </w:style>
  <w:style w:type="paragraph" w:customStyle="1" w:styleId="327">
    <w:name w:val="三级无标题条"/>
    <w:basedOn w:val="290"/>
    <w:qFormat/>
    <w:uiPriority w:val="0"/>
    <w:pPr>
      <w:spacing w:before="0" w:beforeLines="0" w:after="0" w:afterLines="0"/>
      <w:jc w:val="both"/>
      <w:outlineLvl w:val="9"/>
    </w:pPr>
    <w:rPr>
      <w:rFonts w:asciiTheme="majorEastAsia" w:eastAsiaTheme="majorEastAsia"/>
    </w:rPr>
  </w:style>
  <w:style w:type="paragraph" w:customStyle="1" w:styleId="328">
    <w:name w:val="四级无标题条"/>
    <w:basedOn w:val="295"/>
    <w:qFormat/>
    <w:uiPriority w:val="0"/>
    <w:pPr>
      <w:spacing w:before="0" w:beforeLines="0" w:after="0" w:afterLines="0"/>
      <w:jc w:val="both"/>
      <w:outlineLvl w:val="9"/>
    </w:pPr>
    <w:rPr>
      <w:rFonts w:asciiTheme="majorEastAsia" w:eastAsiaTheme="majorEastAsia"/>
    </w:rPr>
  </w:style>
  <w:style w:type="paragraph" w:customStyle="1" w:styleId="329">
    <w:name w:val="五级无标题条"/>
    <w:basedOn w:val="300"/>
    <w:qFormat/>
    <w:uiPriority w:val="0"/>
    <w:pPr>
      <w:spacing w:before="0" w:beforeLines="0" w:after="0" w:afterLines="0"/>
      <w:jc w:val="both"/>
      <w:outlineLvl w:val="9"/>
    </w:pPr>
    <w:rPr>
      <w:rFonts w:asciiTheme="majorEastAsia" w:eastAsiaTheme="majorEastAsia"/>
    </w:rPr>
  </w:style>
  <w:style w:type="paragraph" w:customStyle="1" w:styleId="330">
    <w:name w:val="一级无标题条"/>
    <w:basedOn w:val="260"/>
    <w:qFormat/>
    <w:uiPriority w:val="0"/>
    <w:pPr>
      <w:spacing w:before="0" w:beforeLines="0" w:after="0" w:afterLines="0"/>
      <w:jc w:val="both"/>
      <w:outlineLvl w:val="9"/>
    </w:pPr>
    <w:rPr>
      <w:rFonts w:asciiTheme="majorEastAsia" w:eastAsiaTheme="majorEastAsia"/>
    </w:rPr>
  </w:style>
  <w:style w:type="character" w:customStyle="1" w:styleId="331">
    <w:name w:val="条文脚注 Char"/>
    <w:basedOn w:val="332"/>
    <w:link w:val="296"/>
    <w:qFormat/>
    <w:uiPriority w:val="0"/>
    <w:rPr>
      <w:rFonts w:ascii="宋体"/>
      <w:kern w:val="2"/>
      <w:sz w:val="18"/>
      <w:szCs w:val="18"/>
    </w:rPr>
  </w:style>
  <w:style w:type="character" w:customStyle="1" w:styleId="332">
    <w:name w:val="正文文本 字符"/>
    <w:basedOn w:val="231"/>
    <w:link w:val="40"/>
    <w:semiHidden/>
    <w:qFormat/>
    <w:uiPriority w:val="99"/>
    <w:rPr>
      <w:kern w:val="2"/>
      <w:sz w:val="21"/>
      <w:szCs w:val="24"/>
    </w:rPr>
  </w:style>
  <w:style w:type="paragraph" w:customStyle="1" w:styleId="333">
    <w:name w:val="ICS"/>
    <w:basedOn w:val="273"/>
    <w:qFormat/>
    <w:uiPriority w:val="0"/>
    <w:pPr>
      <w:jc w:val="left"/>
    </w:pPr>
    <w:rPr>
      <w:rFonts w:ascii="黑体" w:eastAsia="黑体"/>
      <w:sz w:val="21"/>
    </w:rPr>
  </w:style>
  <w:style w:type="paragraph" w:customStyle="1" w:styleId="334">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35">
    <w:name w:val="发布"/>
    <w:basedOn w:val="40"/>
    <w:qFormat/>
    <w:uiPriority w:val="0"/>
    <w:pPr>
      <w:spacing w:after="0" w:line="280" w:lineRule="exact"/>
      <w:ind w:left="284"/>
    </w:pPr>
    <w:rPr>
      <w:rFonts w:ascii="黑体" w:eastAsia="黑体"/>
      <w:kern w:val="3"/>
      <w:sz w:val="28"/>
    </w:rPr>
  </w:style>
  <w:style w:type="paragraph" w:customStyle="1" w:styleId="336">
    <w:name w:val="标准称谓DB"/>
    <w:next w:val="1"/>
    <w:link w:val="337"/>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37">
    <w:name w:val="标准称谓DB Char"/>
    <w:basedOn w:val="231"/>
    <w:link w:val="336"/>
    <w:qFormat/>
    <w:uiPriority w:val="0"/>
    <w:rPr>
      <w:rFonts w:ascii="Britannic Bold" w:hAnsi="Britannic Bold" w:eastAsia="黑体"/>
      <w:bCs/>
      <w:w w:val="135"/>
      <w:sz w:val="44"/>
    </w:rPr>
  </w:style>
  <w:style w:type="paragraph" w:customStyle="1" w:styleId="338">
    <w:name w:val="标准称谓QB"/>
    <w:next w:val="1"/>
    <w:link w:val="339"/>
    <w:qFormat/>
    <w:uiPriority w:val="0"/>
    <w:pPr>
      <w:widowControl w:val="0"/>
      <w:kinsoku w:val="0"/>
      <w:overflowPunct w:val="0"/>
      <w:autoSpaceDE w:val="0"/>
      <w:autoSpaceDN w:val="0"/>
      <w:spacing w:line="0" w:lineRule="atLeast"/>
      <w:jc w:val="distribute"/>
    </w:pPr>
    <w:rPr>
      <w:rFonts w:ascii="Times New Roman" w:hAnsi="Times New Roman" w:eastAsia="黑体" w:cs="Times New Roman"/>
      <w:bCs/>
      <w:w w:val="135"/>
      <w:sz w:val="48"/>
      <w:lang w:val="en-US" w:eastAsia="zh-CN" w:bidi="ar-SA"/>
    </w:rPr>
  </w:style>
  <w:style w:type="character" w:customStyle="1" w:styleId="339">
    <w:name w:val="标准称谓QB Char"/>
    <w:basedOn w:val="231"/>
    <w:link w:val="338"/>
    <w:qFormat/>
    <w:uiPriority w:val="0"/>
    <w:rPr>
      <w:rFonts w:eastAsia="黑体"/>
      <w:bCs/>
      <w:w w:val="135"/>
      <w:sz w:val="48"/>
    </w:rPr>
  </w:style>
  <w:style w:type="paragraph" w:customStyle="1" w:styleId="340">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1">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42">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43">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44">
    <w:name w:val="标准标志QB"/>
    <w:next w:val="1"/>
    <w:qFormat/>
    <w:uiPriority w:val="0"/>
    <w:pPr>
      <w:shd w:val="solid" w:color="FFFFFF" w:fill="FFFFFF"/>
      <w:spacing w:line="0" w:lineRule="atLeast"/>
      <w:jc w:val="right"/>
    </w:pPr>
    <w:rPr>
      <w:rFonts w:ascii="Times New Roman" w:hAnsi="Times New Roman" w:eastAsia="Times New Roman" w:cs="Times New Roman"/>
      <w:b/>
      <w:w w:val="130"/>
      <w:sz w:val="96"/>
      <w:lang w:val="en-US" w:eastAsia="zh-CN" w:bidi="ar-SA"/>
    </w:rPr>
  </w:style>
  <w:style w:type="paragraph" w:customStyle="1" w:styleId="345">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46">
    <w:name w:val="示例X"/>
    <w:basedOn w:val="258"/>
    <w:next w:val="293"/>
    <w:qFormat/>
    <w:uiPriority w:val="0"/>
    <w:rPr>
      <w:sz w:val="18"/>
    </w:rPr>
  </w:style>
  <w:style w:type="paragraph" w:customStyle="1" w:styleId="347">
    <w:name w:val="附录表标号"/>
    <w:basedOn w:val="1"/>
    <w:next w:val="258"/>
    <w:qFormat/>
    <w:uiPriority w:val="0"/>
    <w:pPr>
      <w:numPr>
        <w:ilvl w:val="0"/>
        <w:numId w:val="13"/>
      </w:numPr>
      <w:snapToGrid w:val="0"/>
      <w:spacing w:line="14" w:lineRule="exact"/>
      <w:jc w:val="center"/>
    </w:pPr>
    <w:rPr>
      <w:color w:val="FFFFFF"/>
    </w:rPr>
  </w:style>
  <w:style w:type="paragraph" w:customStyle="1" w:styleId="348">
    <w:name w:val="附录图标号"/>
    <w:basedOn w:val="1"/>
    <w:next w:val="258"/>
    <w:qFormat/>
    <w:uiPriority w:val="0"/>
    <w:pPr>
      <w:numPr>
        <w:ilvl w:val="0"/>
        <w:numId w:val="14"/>
      </w:numPr>
      <w:snapToGrid w:val="0"/>
      <w:spacing w:line="14" w:lineRule="exact"/>
      <w:jc w:val="center"/>
    </w:pPr>
    <w:rPr>
      <w:color w:val="FFFFFF"/>
    </w:rPr>
  </w:style>
  <w:style w:type="paragraph" w:customStyle="1" w:styleId="349">
    <w:name w:val="重要提示"/>
    <w:basedOn w:val="258"/>
    <w:next w:val="258"/>
    <w:qFormat/>
    <w:uiPriority w:val="0"/>
    <w:rPr>
      <w:rFonts w:eastAsia="黑体"/>
    </w:rPr>
  </w:style>
  <w:style w:type="paragraph" w:customStyle="1" w:styleId="350">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51">
    <w:name w:val="TOC 标题1"/>
    <w:basedOn w:val="3"/>
    <w:next w:val="1"/>
    <w:semiHidden/>
    <w:unhideWhenUsed/>
    <w:qFormat/>
    <w:uiPriority w:val="39"/>
    <w:pPr>
      <w:outlineLvl w:val="9"/>
    </w:pPr>
  </w:style>
  <w:style w:type="character" w:customStyle="1" w:styleId="352">
    <w:name w:val="不明显参考1"/>
    <w:basedOn w:val="2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53">
    <w:name w:val="不明显强调1"/>
    <w:basedOn w:val="231"/>
    <w:qFormat/>
    <w:uiPriority w:val="19"/>
    <w:rPr>
      <w:i/>
      <w:iCs/>
      <w:color w:val="404040" w:themeColor="text1" w:themeTint="BF"/>
      <w14:textFill>
        <w14:solidFill>
          <w14:schemeClr w14:val="tx1">
            <w14:lumMod w14:val="75000"/>
            <w14:lumOff w14:val="25000"/>
          </w14:schemeClr>
        </w14:solidFill>
      </w14:textFill>
    </w:rPr>
  </w:style>
  <w:style w:type="character" w:customStyle="1" w:styleId="354">
    <w:name w:val="称呼 字符"/>
    <w:basedOn w:val="231"/>
    <w:link w:val="36"/>
    <w:semiHidden/>
    <w:qFormat/>
    <w:uiPriority w:val="99"/>
    <w:rPr>
      <w:kern w:val="2"/>
      <w:sz w:val="21"/>
      <w:szCs w:val="24"/>
    </w:rPr>
  </w:style>
  <w:style w:type="character" w:customStyle="1" w:styleId="355">
    <w:name w:val="纯文本 字符"/>
    <w:basedOn w:val="231"/>
    <w:link w:val="49"/>
    <w:semiHidden/>
    <w:qFormat/>
    <w:uiPriority w:val="99"/>
    <w:rPr>
      <w:rFonts w:ascii="宋体" w:hAnsi="Courier New" w:cs="Courier New"/>
      <w:kern w:val="2"/>
      <w:sz w:val="21"/>
      <w:szCs w:val="21"/>
    </w:rPr>
  </w:style>
  <w:style w:type="character" w:customStyle="1" w:styleId="356">
    <w:name w:val="电子邮件签名 字符"/>
    <w:basedOn w:val="231"/>
    <w:link w:val="25"/>
    <w:semiHidden/>
    <w:qFormat/>
    <w:uiPriority w:val="99"/>
    <w:rPr>
      <w:kern w:val="2"/>
      <w:sz w:val="21"/>
      <w:szCs w:val="24"/>
    </w:rPr>
  </w:style>
  <w:style w:type="character" w:customStyle="1" w:styleId="357">
    <w:name w:val="副标题 字符"/>
    <w:basedOn w:val="231"/>
    <w:link w:val="66"/>
    <w:qFormat/>
    <w:uiPriority w:val="11"/>
    <w:rPr>
      <w:rFonts w:asciiTheme="majorHAnsi" w:hAnsiTheme="majorHAnsi" w:cstheme="majorBidi"/>
      <w:b/>
      <w:bCs/>
      <w:kern w:val="28"/>
      <w:sz w:val="32"/>
      <w:szCs w:val="32"/>
    </w:rPr>
  </w:style>
  <w:style w:type="character" w:customStyle="1" w:styleId="358">
    <w:name w:val="宏文本 字符"/>
    <w:basedOn w:val="231"/>
    <w:link w:val="2"/>
    <w:semiHidden/>
    <w:qFormat/>
    <w:uiPriority w:val="99"/>
    <w:rPr>
      <w:rFonts w:ascii="Courier New" w:hAnsi="Courier New" w:cs="Courier New"/>
      <w:kern w:val="2"/>
      <w:sz w:val="24"/>
      <w:szCs w:val="24"/>
    </w:rPr>
  </w:style>
  <w:style w:type="character" w:customStyle="1" w:styleId="359">
    <w:name w:val="结束语 字符"/>
    <w:basedOn w:val="231"/>
    <w:link w:val="38"/>
    <w:semiHidden/>
    <w:qFormat/>
    <w:uiPriority w:val="99"/>
    <w:rPr>
      <w:kern w:val="2"/>
      <w:sz w:val="21"/>
      <w:szCs w:val="24"/>
    </w:rPr>
  </w:style>
  <w:style w:type="paragraph" w:styleId="360">
    <w:name w:val="List Paragraph"/>
    <w:basedOn w:val="1"/>
    <w:qFormat/>
    <w:uiPriority w:val="34"/>
    <w:pPr>
      <w:ind w:firstLine="420" w:firstLineChars="200"/>
    </w:pPr>
  </w:style>
  <w:style w:type="character" w:customStyle="1" w:styleId="361">
    <w:name w:val="明显参考1"/>
    <w:basedOn w:val="231"/>
    <w:qFormat/>
    <w:uiPriority w:val="32"/>
    <w:rPr>
      <w:b/>
      <w:bCs/>
      <w:smallCaps/>
      <w:color w:val="5B9BD5" w:themeColor="accent1"/>
      <w:spacing w:val="5"/>
      <w14:textFill>
        <w14:solidFill>
          <w14:schemeClr w14:val="accent1"/>
        </w14:solidFill>
      </w14:textFill>
    </w:rPr>
  </w:style>
  <w:style w:type="character" w:customStyle="1" w:styleId="362">
    <w:name w:val="明显强调1"/>
    <w:basedOn w:val="231"/>
    <w:qFormat/>
    <w:uiPriority w:val="21"/>
    <w:rPr>
      <w:i/>
      <w:iCs/>
      <w:color w:val="5B9BD5" w:themeColor="accent1"/>
      <w14:textFill>
        <w14:solidFill>
          <w14:schemeClr w14:val="accent1"/>
        </w14:solidFill>
      </w14:textFill>
    </w:rPr>
  </w:style>
  <w:style w:type="paragraph" w:styleId="363">
    <w:name w:val="Intense Quote"/>
    <w:basedOn w:val="1"/>
    <w:next w:val="1"/>
    <w:link w:val="36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64">
    <w:name w:val="明显引用 字符"/>
    <w:basedOn w:val="231"/>
    <w:link w:val="363"/>
    <w:qFormat/>
    <w:uiPriority w:val="30"/>
    <w:rPr>
      <w:i/>
      <w:iCs/>
      <w:color w:val="5B9BD5" w:themeColor="accent1"/>
      <w:kern w:val="2"/>
      <w:sz w:val="21"/>
      <w:szCs w:val="24"/>
      <w14:textFill>
        <w14:solidFill>
          <w14:schemeClr w14:val="accent1"/>
        </w14:solidFill>
      </w14:textFill>
    </w:rPr>
  </w:style>
  <w:style w:type="character" w:customStyle="1" w:styleId="365">
    <w:name w:val="批注框文本 字符"/>
    <w:basedOn w:val="231"/>
    <w:link w:val="58"/>
    <w:semiHidden/>
    <w:qFormat/>
    <w:uiPriority w:val="99"/>
    <w:rPr>
      <w:kern w:val="2"/>
      <w:sz w:val="18"/>
      <w:szCs w:val="18"/>
    </w:rPr>
  </w:style>
  <w:style w:type="character" w:customStyle="1" w:styleId="366">
    <w:name w:val="批注文字 字符"/>
    <w:basedOn w:val="231"/>
    <w:link w:val="34"/>
    <w:semiHidden/>
    <w:qFormat/>
    <w:uiPriority w:val="99"/>
    <w:rPr>
      <w:kern w:val="2"/>
      <w:sz w:val="21"/>
      <w:szCs w:val="24"/>
    </w:rPr>
  </w:style>
  <w:style w:type="character" w:customStyle="1" w:styleId="367">
    <w:name w:val="批注主题 字符"/>
    <w:basedOn w:val="366"/>
    <w:link w:val="85"/>
    <w:semiHidden/>
    <w:qFormat/>
    <w:uiPriority w:val="99"/>
    <w:rPr>
      <w:b/>
      <w:bCs/>
      <w:kern w:val="2"/>
      <w:sz w:val="21"/>
      <w:szCs w:val="24"/>
    </w:rPr>
  </w:style>
  <w:style w:type="character" w:customStyle="1" w:styleId="368">
    <w:name w:val="签名 字符"/>
    <w:basedOn w:val="231"/>
    <w:link w:val="62"/>
    <w:semiHidden/>
    <w:qFormat/>
    <w:uiPriority w:val="99"/>
    <w:rPr>
      <w:kern w:val="2"/>
      <w:sz w:val="21"/>
      <w:szCs w:val="24"/>
    </w:rPr>
  </w:style>
  <w:style w:type="table" w:customStyle="1" w:styleId="369">
    <w:name w:val="清单表 1 浅色1"/>
    <w:basedOn w:val="88"/>
    <w:qFormat/>
    <w:uiPriority w:val="46"/>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0">
    <w:name w:val="清单表 1 浅色 - 着色 11"/>
    <w:basedOn w:val="88"/>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1">
    <w:name w:val="清单表 1 浅色 - 着色 21"/>
    <w:basedOn w:val="88"/>
    <w:qFormat/>
    <w:uiPriority w:val="46"/>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2">
    <w:name w:val="清单表 1 浅色 - 着色 31"/>
    <w:basedOn w:val="88"/>
    <w:qFormat/>
    <w:uiPriority w:val="46"/>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3">
    <w:name w:val="清单表 1 浅色 - 着色 41"/>
    <w:basedOn w:val="88"/>
    <w:qFormat/>
    <w:uiPriority w:val="46"/>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4">
    <w:name w:val="清单表 1 浅色 - 着色 51"/>
    <w:basedOn w:val="88"/>
    <w:qFormat/>
    <w:uiPriority w:val="46"/>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5">
    <w:name w:val="清单表 1 浅色 - 着色 61"/>
    <w:basedOn w:val="88"/>
    <w:qFormat/>
    <w:uiPriority w:val="46"/>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6">
    <w:name w:val="清单表 21"/>
    <w:basedOn w:val="88"/>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7">
    <w:name w:val="清单表 2 - 着色 11"/>
    <w:basedOn w:val="88"/>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78">
    <w:name w:val="清单表 2 - 着色 21"/>
    <w:basedOn w:val="88"/>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9">
    <w:name w:val="清单表 2 - 着色 31"/>
    <w:basedOn w:val="88"/>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0">
    <w:name w:val="清单表 2 - 着色 41"/>
    <w:basedOn w:val="88"/>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1">
    <w:name w:val="清单表 2 - 着色 51"/>
    <w:basedOn w:val="88"/>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2">
    <w:name w:val="清单表 2 - 着色 61"/>
    <w:basedOn w:val="88"/>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3">
    <w:name w:val="清单表 31"/>
    <w:basedOn w:val="88"/>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84">
    <w:name w:val="清单表 3 - 着色 11"/>
    <w:basedOn w:val="88"/>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85">
    <w:name w:val="清单表 3 - 着色 21"/>
    <w:basedOn w:val="88"/>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86">
    <w:name w:val="清单表 3 - 着色 31"/>
    <w:basedOn w:val="88"/>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87">
    <w:name w:val="清单表 3 - 着色 41"/>
    <w:basedOn w:val="88"/>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88">
    <w:name w:val="清单表 3 - 着色 51"/>
    <w:basedOn w:val="88"/>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89">
    <w:name w:val="清单表 3 - 着色 61"/>
    <w:basedOn w:val="88"/>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90">
    <w:name w:val="清单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1">
    <w:name w:val="清单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2">
    <w:name w:val="清单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3">
    <w:name w:val="清单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4">
    <w:name w:val="清单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95">
    <w:name w:val="清单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96">
    <w:name w:val="清单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97">
    <w:name w:val="清单表 5 深色1"/>
    <w:basedOn w:val="88"/>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8">
    <w:name w:val="清单表 5 深色 - 着色 11"/>
    <w:basedOn w:val="88"/>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9">
    <w:name w:val="清单表 5 深色 - 着色 21"/>
    <w:basedOn w:val="88"/>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0">
    <w:name w:val="清单表 5 深色 - 着色 31"/>
    <w:basedOn w:val="88"/>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1">
    <w:name w:val="清单表 5 深色 - 着色 41"/>
    <w:basedOn w:val="88"/>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2">
    <w:name w:val="清单表 5 深色 - 着色 51"/>
    <w:basedOn w:val="88"/>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3">
    <w:name w:val="清单表 5 深色 - 着色 61"/>
    <w:basedOn w:val="88"/>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404">
    <w:name w:val="清单表 6 彩色1"/>
    <w:basedOn w:val="88"/>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05">
    <w:name w:val="清单表 6 彩色 - 着色 11"/>
    <w:basedOn w:val="88"/>
    <w:qFormat/>
    <w:uiPriority w:val="51"/>
    <w:rPr>
      <w:color w:val="2E75B6" w:themeColor="accent1" w:themeShade="BF"/>
    </w:rPr>
    <w:tblPr>
      <w:tblBorders>
        <w:top w:val="single" w:color="5B9BD5" w:themeColor="accent1" w:sz="4" w:space="0"/>
        <w:bottom w:val="single" w:color="5B9BD5" w:themeColor="accent1" w:sz="4" w:space="0"/>
      </w:tblBorders>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06">
    <w:name w:val="清单表 6 彩色 - 着色 21"/>
    <w:basedOn w:val="88"/>
    <w:qFormat/>
    <w:uiPriority w:val="51"/>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07">
    <w:name w:val="清单表 6 彩色 - 着色 31"/>
    <w:basedOn w:val="88"/>
    <w:qFormat/>
    <w:uiPriority w:val="51"/>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08">
    <w:name w:val="清单表 6 彩色 - 着色 41"/>
    <w:basedOn w:val="88"/>
    <w:qFormat/>
    <w:uiPriority w:val="51"/>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9">
    <w:name w:val="清单表 6 彩色 - 着色 51"/>
    <w:basedOn w:val="88"/>
    <w:qFormat/>
    <w:uiPriority w:val="51"/>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10">
    <w:name w:val="清单表 6 彩色 - 着色 61"/>
    <w:basedOn w:val="88"/>
    <w:qFormat/>
    <w:uiPriority w:val="51"/>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11">
    <w:name w:val="清单表 7 彩色1"/>
    <w:basedOn w:val="88"/>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2">
    <w:name w:val="清单表 7 彩色 - 着色 11"/>
    <w:basedOn w:val="88"/>
    <w:qFormat/>
    <w:uiPriority w:val="52"/>
    <w:rPr>
      <w:color w:val="2E75B6" w:themeColor="accent1" w:themeShade="BF"/>
    </w:r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3">
    <w:name w:val="清单表 7 彩色 - 着色 21"/>
    <w:basedOn w:val="88"/>
    <w:qFormat/>
    <w:uiPriority w:val="52"/>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4">
    <w:name w:val="清单表 7 彩色 - 着色 31"/>
    <w:basedOn w:val="88"/>
    <w:qFormat/>
    <w:uiPriority w:val="52"/>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5">
    <w:name w:val="清单表 7 彩色 - 着色 41"/>
    <w:basedOn w:val="88"/>
    <w:qFormat/>
    <w:uiPriority w:val="52"/>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6">
    <w:name w:val="清单表 7 彩色 - 着色 51"/>
    <w:basedOn w:val="88"/>
    <w:qFormat/>
    <w:uiPriority w:val="52"/>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7">
    <w:name w:val="清单表 7 彩色 - 着色 61"/>
    <w:basedOn w:val="8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18">
    <w:name w:val="日期 字符"/>
    <w:basedOn w:val="231"/>
    <w:link w:val="54"/>
    <w:semiHidden/>
    <w:qFormat/>
    <w:uiPriority w:val="99"/>
    <w:rPr>
      <w:kern w:val="2"/>
      <w:sz w:val="21"/>
      <w:szCs w:val="24"/>
    </w:rPr>
  </w:style>
  <w:style w:type="character" w:customStyle="1" w:styleId="419">
    <w:name w:val="书籍标题1"/>
    <w:basedOn w:val="231"/>
    <w:qFormat/>
    <w:uiPriority w:val="33"/>
    <w:rPr>
      <w:b/>
      <w:bCs/>
      <w:i/>
      <w:iCs/>
      <w:spacing w:val="5"/>
    </w:rPr>
  </w:style>
  <w:style w:type="paragraph" w:customStyle="1" w:styleId="420">
    <w:name w:val="书目1"/>
    <w:basedOn w:val="1"/>
    <w:next w:val="1"/>
    <w:semiHidden/>
    <w:unhideWhenUsed/>
    <w:qFormat/>
    <w:uiPriority w:val="37"/>
  </w:style>
  <w:style w:type="table" w:customStyle="1" w:styleId="421">
    <w:name w:val="网格表 1 浅色1"/>
    <w:basedOn w:val="8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22">
    <w:name w:val="网格表 1 浅色 - 着色 11"/>
    <w:basedOn w:val="88"/>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23">
    <w:name w:val="网格表 1 浅色 - 着色 21"/>
    <w:basedOn w:val="88"/>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24">
    <w:name w:val="网格表 1 浅色 - 着色 31"/>
    <w:basedOn w:val="88"/>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25">
    <w:name w:val="网格表 1 浅色 - 着色 41"/>
    <w:basedOn w:val="88"/>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26">
    <w:name w:val="网格表 1 浅色 - 着色 51"/>
    <w:basedOn w:val="88"/>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27">
    <w:name w:val="网格表 1 浅色 - 着色 61"/>
    <w:basedOn w:val="88"/>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8">
    <w:name w:val="网格表 21"/>
    <w:basedOn w:val="88"/>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9">
    <w:name w:val="网格表 2 - 着色 11"/>
    <w:basedOn w:val="88"/>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0">
    <w:name w:val="网格表 2 - 着色 21"/>
    <w:basedOn w:val="88"/>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1">
    <w:name w:val="网格表 2 - 着色 31"/>
    <w:basedOn w:val="88"/>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2">
    <w:name w:val="网格表 2 - 着色 41"/>
    <w:basedOn w:val="88"/>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3">
    <w:name w:val="网格表 2 - 着色 51"/>
    <w:basedOn w:val="88"/>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34">
    <w:name w:val="网格表 2 - 着色 61"/>
    <w:basedOn w:val="88"/>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35">
    <w:name w:val="网格表 31"/>
    <w:basedOn w:val="88"/>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36">
    <w:name w:val="网格表 3 - 着色 11"/>
    <w:basedOn w:val="88"/>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37">
    <w:name w:val="网格表 3 - 着色 21"/>
    <w:basedOn w:val="88"/>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8">
    <w:name w:val="网格表 3 - 着色 31"/>
    <w:basedOn w:val="88"/>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39">
    <w:name w:val="网格表 3 - 着色 41"/>
    <w:basedOn w:val="88"/>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40">
    <w:name w:val="网格表 3 - 着色 51"/>
    <w:basedOn w:val="88"/>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41">
    <w:name w:val="网格表 3 - 着色 61"/>
    <w:basedOn w:val="88"/>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42">
    <w:name w:val="网格表 41"/>
    <w:basedOn w:val="88"/>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3">
    <w:name w:val="网格表 4 - 着色 11"/>
    <w:basedOn w:val="88"/>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44">
    <w:name w:val="网格表 4 - 着色 21"/>
    <w:basedOn w:val="88"/>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45">
    <w:name w:val="网格表 4 - 着色 31"/>
    <w:basedOn w:val="88"/>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46">
    <w:name w:val="网格表 4 - 着色 41"/>
    <w:basedOn w:val="88"/>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47">
    <w:name w:val="网格表 4 - 着色 51"/>
    <w:basedOn w:val="88"/>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8">
    <w:name w:val="网格表 4 - 着色 61"/>
    <w:basedOn w:val="88"/>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49">
    <w:name w:val="网格表 5 深色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50">
    <w:name w:val="网格表 5 深色 - 着色 1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51">
    <w:name w:val="网格表 5 深色 - 着色 2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52">
    <w:name w:val="网格表 5 深色 - 着色 3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53">
    <w:name w:val="网格表 5 深色 - 着色 4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54">
    <w:name w:val="网格表 5 深色 - 着色 5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55">
    <w:name w:val="网格表 5 深色 - 着色 61"/>
    <w:basedOn w:val="8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56">
    <w:name w:val="网格表 6 彩色1"/>
    <w:basedOn w:val="88"/>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57">
    <w:name w:val="网格表 6 彩色 - 着色 11"/>
    <w:basedOn w:val="88"/>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8">
    <w:name w:val="网格表 6 彩色 - 着色 21"/>
    <w:basedOn w:val="88"/>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59">
    <w:name w:val="网格表 6 彩色 - 着色 31"/>
    <w:basedOn w:val="88"/>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60">
    <w:name w:val="网格表 6 彩色 - 着色 41"/>
    <w:basedOn w:val="88"/>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61">
    <w:name w:val="网格表 6 彩色 - 着色 51"/>
    <w:basedOn w:val="88"/>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62">
    <w:name w:val="网格表 6 彩色 - 着色 61"/>
    <w:basedOn w:val="88"/>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63">
    <w:name w:val="网格表 7 彩色1"/>
    <w:basedOn w:val="88"/>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64">
    <w:name w:val="网格表 7 彩色 - 着色 11"/>
    <w:basedOn w:val="88"/>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65">
    <w:name w:val="网格表 7 彩色 - 着色 21"/>
    <w:basedOn w:val="88"/>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66">
    <w:name w:val="网格表 7 彩色 - 着色 31"/>
    <w:basedOn w:val="88"/>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67">
    <w:name w:val="网格表 7 彩色 - 着色 41"/>
    <w:basedOn w:val="8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8">
    <w:name w:val="网格表 7 彩色 - 着色 51"/>
    <w:basedOn w:val="88"/>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69">
    <w:name w:val="网格表 7 彩色 - 着色 61"/>
    <w:basedOn w:val="8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70">
    <w:name w:val="网格型浅色1"/>
    <w:basedOn w:val="8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71">
    <w:name w:val="尾注文本 字符"/>
    <w:basedOn w:val="231"/>
    <w:link w:val="56"/>
    <w:semiHidden/>
    <w:qFormat/>
    <w:uiPriority w:val="99"/>
    <w:rPr>
      <w:kern w:val="2"/>
      <w:sz w:val="21"/>
      <w:szCs w:val="24"/>
    </w:rPr>
  </w:style>
  <w:style w:type="character" w:customStyle="1" w:styleId="472">
    <w:name w:val="文档结构图 字符"/>
    <w:basedOn w:val="231"/>
    <w:link w:val="32"/>
    <w:semiHidden/>
    <w:qFormat/>
    <w:uiPriority w:val="99"/>
    <w:rPr>
      <w:rFonts w:ascii="Microsoft YaHei UI" w:eastAsia="Microsoft YaHei UI"/>
      <w:kern w:val="2"/>
      <w:sz w:val="18"/>
      <w:szCs w:val="18"/>
    </w:rPr>
  </w:style>
  <w:style w:type="table" w:customStyle="1" w:styleId="473">
    <w:name w:val="无格式表格 11"/>
    <w:basedOn w:val="88"/>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4">
    <w:name w:val="无格式表格 21"/>
    <w:basedOn w:val="8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5">
    <w:name w:val="无格式表格 31"/>
    <w:basedOn w:val="8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76">
    <w:name w:val="无格式表格 41"/>
    <w:basedOn w:val="88"/>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7">
    <w:name w:val="无格式表格 51"/>
    <w:basedOn w:val="8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47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79">
    <w:name w:val="信息标题 字符"/>
    <w:basedOn w:val="231"/>
    <w:link w:val="79"/>
    <w:semiHidden/>
    <w:qFormat/>
    <w:uiPriority w:val="99"/>
    <w:rPr>
      <w:rFonts w:asciiTheme="majorHAnsi" w:hAnsiTheme="majorHAnsi" w:eastAsiaTheme="majorEastAsia" w:cstheme="majorBidi"/>
      <w:kern w:val="2"/>
      <w:sz w:val="24"/>
      <w:szCs w:val="24"/>
      <w:shd w:val="pct20" w:color="auto" w:fill="auto"/>
    </w:rPr>
  </w:style>
  <w:style w:type="paragraph" w:styleId="480">
    <w:name w:val="Quote"/>
    <w:basedOn w:val="1"/>
    <w:next w:val="1"/>
    <w:link w:val="48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81">
    <w:name w:val="引用 字符"/>
    <w:basedOn w:val="231"/>
    <w:link w:val="480"/>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styleId="482">
    <w:name w:val="Placeholder Text"/>
    <w:basedOn w:val="231"/>
    <w:semiHidden/>
    <w:qFormat/>
    <w:uiPriority w:val="99"/>
    <w:rPr>
      <w:color w:val="808080"/>
    </w:rPr>
  </w:style>
  <w:style w:type="character" w:customStyle="1" w:styleId="483">
    <w:name w:val="正文文本首行缩进 字符"/>
    <w:basedOn w:val="332"/>
    <w:link w:val="86"/>
    <w:semiHidden/>
    <w:qFormat/>
    <w:uiPriority w:val="99"/>
    <w:rPr>
      <w:kern w:val="2"/>
      <w:sz w:val="21"/>
      <w:szCs w:val="24"/>
    </w:rPr>
  </w:style>
  <w:style w:type="character" w:customStyle="1" w:styleId="484">
    <w:name w:val="正文文本缩进 字符"/>
    <w:basedOn w:val="231"/>
    <w:link w:val="41"/>
    <w:semiHidden/>
    <w:qFormat/>
    <w:uiPriority w:val="99"/>
    <w:rPr>
      <w:kern w:val="2"/>
      <w:sz w:val="21"/>
      <w:szCs w:val="24"/>
    </w:rPr>
  </w:style>
  <w:style w:type="character" w:customStyle="1" w:styleId="485">
    <w:name w:val="正文文本首行缩进 2 字符"/>
    <w:basedOn w:val="484"/>
    <w:link w:val="87"/>
    <w:semiHidden/>
    <w:qFormat/>
    <w:uiPriority w:val="99"/>
    <w:rPr>
      <w:kern w:val="2"/>
      <w:sz w:val="21"/>
      <w:szCs w:val="24"/>
    </w:rPr>
  </w:style>
  <w:style w:type="character" w:customStyle="1" w:styleId="486">
    <w:name w:val="正文文本 2 字符"/>
    <w:basedOn w:val="231"/>
    <w:link w:val="76"/>
    <w:semiHidden/>
    <w:qFormat/>
    <w:uiPriority w:val="99"/>
    <w:rPr>
      <w:kern w:val="2"/>
      <w:sz w:val="21"/>
      <w:szCs w:val="24"/>
    </w:rPr>
  </w:style>
  <w:style w:type="character" w:customStyle="1" w:styleId="487">
    <w:name w:val="正文文本 3 字符"/>
    <w:basedOn w:val="231"/>
    <w:link w:val="37"/>
    <w:semiHidden/>
    <w:qFormat/>
    <w:uiPriority w:val="99"/>
    <w:rPr>
      <w:kern w:val="2"/>
      <w:sz w:val="16"/>
      <w:szCs w:val="16"/>
    </w:rPr>
  </w:style>
  <w:style w:type="character" w:customStyle="1" w:styleId="488">
    <w:name w:val="正文文本缩进 2 字符"/>
    <w:basedOn w:val="231"/>
    <w:link w:val="55"/>
    <w:semiHidden/>
    <w:qFormat/>
    <w:uiPriority w:val="99"/>
    <w:rPr>
      <w:kern w:val="2"/>
      <w:sz w:val="21"/>
      <w:szCs w:val="24"/>
    </w:rPr>
  </w:style>
  <w:style w:type="character" w:customStyle="1" w:styleId="489">
    <w:name w:val="正文文本缩进 3 字符"/>
    <w:basedOn w:val="231"/>
    <w:link w:val="71"/>
    <w:semiHidden/>
    <w:qFormat/>
    <w:uiPriority w:val="99"/>
    <w:rPr>
      <w:kern w:val="2"/>
      <w:sz w:val="16"/>
      <w:szCs w:val="16"/>
    </w:rPr>
  </w:style>
  <w:style w:type="character" w:customStyle="1" w:styleId="490">
    <w:name w:val="注释标题 字符"/>
    <w:basedOn w:val="231"/>
    <w:link w:val="22"/>
    <w:semiHidden/>
    <w:qFormat/>
    <w:uiPriority w:val="99"/>
    <w:rPr>
      <w:kern w:val="2"/>
      <w:sz w:val="21"/>
      <w:szCs w:val="24"/>
    </w:rPr>
  </w:style>
  <w:style w:type="paragraph" w:customStyle="1" w:styleId="491">
    <w:name w:val="附录无标题章"/>
    <w:basedOn w:val="276"/>
    <w:qFormat/>
    <w:uiPriority w:val="0"/>
    <w:pPr>
      <w:spacing w:before="0" w:beforeLines="0" w:after="0" w:afterLines="0"/>
      <w:outlineLvl w:val="9"/>
    </w:pPr>
    <w:rPr>
      <w:rFonts w:asciiTheme="majorEastAsia" w:eastAsiaTheme="majorEastAsia"/>
    </w:rPr>
  </w:style>
  <w:style w:type="paragraph" w:customStyle="1" w:styleId="492">
    <w:name w:val="附录一级无标题条"/>
    <w:basedOn w:val="277"/>
    <w:qFormat/>
    <w:uiPriority w:val="0"/>
    <w:pPr>
      <w:spacing w:before="0" w:beforeLines="0" w:after="0" w:afterLines="0"/>
      <w:outlineLvl w:val="9"/>
    </w:pPr>
    <w:rPr>
      <w:rFonts w:asciiTheme="majorEastAsia" w:eastAsiaTheme="majorEastAsia"/>
    </w:rPr>
  </w:style>
  <w:style w:type="paragraph" w:customStyle="1" w:styleId="493">
    <w:name w:val="附录二级无标题条"/>
    <w:basedOn w:val="278"/>
    <w:qFormat/>
    <w:uiPriority w:val="0"/>
    <w:pPr>
      <w:spacing w:before="0" w:beforeLines="0" w:after="0" w:afterLines="0"/>
      <w:outlineLvl w:val="9"/>
    </w:pPr>
    <w:rPr>
      <w:rFonts w:asciiTheme="majorEastAsia" w:eastAsiaTheme="majorEastAsia"/>
    </w:rPr>
  </w:style>
  <w:style w:type="paragraph" w:customStyle="1" w:styleId="494">
    <w:name w:val="附录三级无标题条"/>
    <w:basedOn w:val="279"/>
    <w:qFormat/>
    <w:uiPriority w:val="0"/>
    <w:pPr>
      <w:spacing w:before="0" w:beforeLines="0" w:after="0" w:afterLines="0"/>
      <w:outlineLvl w:val="9"/>
    </w:pPr>
    <w:rPr>
      <w:rFonts w:asciiTheme="majorEastAsia" w:eastAsiaTheme="majorEastAsia"/>
    </w:rPr>
  </w:style>
  <w:style w:type="paragraph" w:customStyle="1" w:styleId="495">
    <w:name w:val="附录四级无标题条"/>
    <w:basedOn w:val="280"/>
    <w:qFormat/>
    <w:uiPriority w:val="0"/>
    <w:pPr>
      <w:spacing w:before="0" w:beforeLines="0" w:after="0" w:afterLines="0"/>
      <w:outlineLvl w:val="9"/>
    </w:pPr>
    <w:rPr>
      <w:rFonts w:asciiTheme="majorEastAsia" w:eastAsiaTheme="majorEastAsia"/>
    </w:rPr>
  </w:style>
  <w:style w:type="paragraph" w:customStyle="1" w:styleId="496">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7">
    <w:name w:val="标准称谓TB"/>
    <w:basedOn w:val="1"/>
    <w:qFormat/>
    <w:uiPriority w:val="0"/>
    <w:pPr>
      <w:kinsoku w:val="0"/>
      <w:overflowPunct w:val="0"/>
      <w:autoSpaceDE w:val="0"/>
      <w:autoSpaceDN w:val="0"/>
      <w:spacing w:line="0" w:lineRule="atLeast"/>
      <w:jc w:val="center"/>
    </w:pPr>
    <w:rPr>
      <w:rFonts w:hint="eastAsia" w:ascii="黑体" w:hAnsi="黑体" w:eastAsia="黑体" w:cs="黑体"/>
      <w:bCs/>
      <w:spacing w:val="40"/>
      <w:kern w:val="0"/>
      <w:sz w:val="72"/>
      <w:szCs w:val="20"/>
    </w:rPr>
  </w:style>
  <w:style w:type="paragraph" w:customStyle="1" w:styleId="498">
    <w:name w:val="发布GB"/>
    <w:basedOn w:val="40"/>
    <w:qFormat/>
    <w:uiPriority w:val="0"/>
    <w:pPr>
      <w:spacing w:after="0" w:line="280" w:lineRule="exact"/>
      <w:ind w:left="284"/>
    </w:pPr>
    <w:rPr>
      <w:rFonts w:ascii="黑体" w:eastAsia="黑体"/>
      <w:kern w:val="3"/>
      <w:sz w:val="28"/>
    </w:rPr>
  </w:style>
  <w:style w:type="paragraph" w:customStyle="1" w:styleId="499">
    <w:name w:val="发布DB"/>
    <w:basedOn w:val="498"/>
    <w:qFormat/>
    <w:uiPriority w:val="0"/>
    <w:pPr>
      <w:ind w:left="567"/>
    </w:pPr>
  </w:style>
  <w:style w:type="paragraph" w:customStyle="1" w:styleId="500">
    <w:name w:val="发布HB"/>
    <w:basedOn w:val="498"/>
    <w:qFormat/>
    <w:uiPriority w:val="0"/>
    <w:pPr>
      <w:ind w:left="567"/>
    </w:pPr>
  </w:style>
  <w:style w:type="paragraph" w:customStyle="1" w:styleId="501">
    <w:name w:val="发布QB"/>
    <w:basedOn w:val="498"/>
    <w:qFormat/>
    <w:uiPriority w:val="0"/>
    <w:pPr>
      <w:ind w:left="567"/>
    </w:pPr>
  </w:style>
  <w:style w:type="paragraph" w:customStyle="1" w:styleId="502">
    <w:name w:val="发布TB"/>
    <w:basedOn w:val="498"/>
    <w:qFormat/>
    <w:uiPriority w:val="0"/>
    <w:pPr>
      <w:ind w:left="567"/>
    </w:pPr>
  </w:style>
  <w:style w:type="paragraph" w:customStyle="1" w:styleId="503">
    <w:name w:val="发布部门TB"/>
    <w:basedOn w:val="1"/>
    <w:qFormat/>
    <w:uiPriority w:val="0"/>
    <w:pPr>
      <w:widowControl/>
      <w:spacing w:line="360" w:lineRule="exact"/>
      <w:jc w:val="center"/>
    </w:pPr>
    <w:rPr>
      <w:rFonts w:hint="eastAsia" w:ascii="黑体" w:hAnsi="黑体" w:eastAsia="黑体" w:cs="黑体"/>
      <w:spacing w:val="20"/>
      <w:w w:val="135"/>
      <w:kern w:val="0"/>
      <w:sz w:val="36"/>
      <w:szCs w:val="20"/>
    </w:rPr>
  </w:style>
  <w:style w:type="paragraph" w:customStyle="1" w:styleId="504">
    <w:name w:val="标准标志CEC"/>
    <w:basedOn w:val="1"/>
    <w:qFormat/>
    <w:uiPriority w:val="0"/>
    <w:pPr>
      <w:jc w:val="right"/>
    </w:pPr>
    <w:rPr>
      <w:rFonts w:eastAsia="Times New Roman"/>
      <w:b/>
      <w:sz w:val="96"/>
    </w:rPr>
  </w:style>
  <w:style w:type="paragraph" w:customStyle="1" w:styleId="505">
    <w:name w:val="标准称谓CEC"/>
    <w:basedOn w:val="1"/>
    <w:qFormat/>
    <w:uiPriority w:val="0"/>
    <w:pPr>
      <w:jc w:val="center"/>
    </w:pPr>
    <w:rPr>
      <w:rFonts w:eastAsia="黑体"/>
      <w:b/>
      <w:w w:val="132"/>
      <w:kern w:val="0"/>
      <w:sz w:val="52"/>
    </w:rPr>
  </w:style>
  <w:style w:type="paragraph" w:customStyle="1" w:styleId="506">
    <w:name w:val="发布CEC"/>
    <w:basedOn w:val="498"/>
    <w:qFormat/>
    <w:uiPriority w:val="0"/>
  </w:style>
  <w:style w:type="paragraph" w:customStyle="1" w:styleId="507">
    <w:name w:val="发布部门CEC"/>
    <w:basedOn w:val="1"/>
    <w:qFormat/>
    <w:uiPriority w:val="0"/>
    <w:pPr>
      <w:snapToGrid w:val="0"/>
    </w:pPr>
    <w:rPr>
      <w:b/>
      <w:w w:val="135"/>
      <w:kern w:val="0"/>
      <w:sz w:val="36"/>
    </w:rPr>
  </w:style>
  <w:style w:type="paragraph" w:customStyle="1" w:styleId="508">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09">
    <w:name w:val="附录公式标号"/>
    <w:basedOn w:val="360"/>
    <w:qFormat/>
    <w:uiPriority w:val="0"/>
    <w:pPr>
      <w:numPr>
        <w:ilvl w:val="0"/>
        <w:numId w:val="26"/>
      </w:numPr>
      <w:snapToGrid w:val="0"/>
      <w:spacing w:line="14" w:lineRule="atLeast"/>
      <w:ind w:firstLineChars="0"/>
    </w:pPr>
    <w:rPr>
      <w:color w:val="FFFFFF" w:themeColor="background1"/>
      <w:sz w:val="2"/>
      <w14:textFill>
        <w14:solidFill>
          <w14:schemeClr w14:val="bg1"/>
        </w14:solidFill>
      </w14:textFill>
    </w:rPr>
  </w:style>
  <w:style w:type="paragraph" w:customStyle="1" w:styleId="510">
    <w:name w:val="附录公式编号"/>
    <w:basedOn w:val="40"/>
    <w:qFormat/>
    <w:uiPriority w:val="0"/>
    <w:pPr>
      <w:numPr>
        <w:ilvl w:val="1"/>
        <w:numId w:val="26"/>
      </w:numPr>
    </w:pPr>
  </w:style>
  <w:style w:type="paragraph" w:customStyle="1" w:styleId="511">
    <w:name w:val="引言二级条标题"/>
    <w:basedOn w:val="1"/>
    <w:next w:val="258"/>
    <w:qFormat/>
    <w:uiPriority w:val="0"/>
    <w:pPr>
      <w:widowControl/>
      <w:numPr>
        <w:ilvl w:val="2"/>
        <w:numId w:val="27"/>
      </w:numPr>
      <w:autoSpaceDE w:val="0"/>
      <w:autoSpaceDN w:val="0"/>
      <w:spacing w:before="50" w:beforeLines="50" w:after="50" w:afterLines="50"/>
    </w:pPr>
    <w:rPr>
      <w:rFonts w:ascii="黑体" w:eastAsia="黑体"/>
      <w:kern w:val="0"/>
      <w:szCs w:val="20"/>
    </w:rPr>
  </w:style>
  <w:style w:type="paragraph" w:customStyle="1" w:styleId="512">
    <w:name w:val="引言二级无标题条"/>
    <w:basedOn w:val="511"/>
    <w:next w:val="258"/>
    <w:qFormat/>
    <w:uiPriority w:val="0"/>
    <w:pPr>
      <w:spacing w:before="0" w:beforeLines="0" w:after="0" w:afterLines="0" w:line="276" w:lineRule="auto"/>
    </w:pPr>
    <w:rPr>
      <w:rFonts w:ascii="宋体" w:eastAsia="宋体"/>
    </w:rPr>
  </w:style>
  <w:style w:type="paragraph" w:customStyle="1" w:styleId="513">
    <w:name w:val="引言三级条标题"/>
    <w:basedOn w:val="1"/>
    <w:next w:val="258"/>
    <w:qFormat/>
    <w:uiPriority w:val="0"/>
    <w:pPr>
      <w:widowControl/>
      <w:numPr>
        <w:ilvl w:val="3"/>
        <w:numId w:val="27"/>
      </w:numPr>
      <w:autoSpaceDE w:val="0"/>
      <w:autoSpaceDN w:val="0"/>
      <w:spacing w:before="50" w:beforeLines="50" w:after="50" w:afterLines="50"/>
    </w:pPr>
    <w:rPr>
      <w:rFonts w:ascii="黑体" w:eastAsia="黑体"/>
      <w:kern w:val="0"/>
      <w:szCs w:val="20"/>
    </w:rPr>
  </w:style>
  <w:style w:type="paragraph" w:customStyle="1" w:styleId="514">
    <w:name w:val="引言三级无标题条"/>
    <w:basedOn w:val="513"/>
    <w:next w:val="258"/>
    <w:qFormat/>
    <w:uiPriority w:val="0"/>
    <w:pPr>
      <w:spacing w:before="0" w:beforeLines="0" w:after="0" w:afterLines="0" w:line="276" w:lineRule="auto"/>
    </w:pPr>
    <w:rPr>
      <w:rFonts w:ascii="宋体" w:eastAsia="宋体"/>
    </w:rPr>
  </w:style>
  <w:style w:type="paragraph" w:customStyle="1" w:styleId="515">
    <w:name w:val="引言四级条标题"/>
    <w:basedOn w:val="1"/>
    <w:next w:val="258"/>
    <w:qFormat/>
    <w:uiPriority w:val="0"/>
    <w:pPr>
      <w:widowControl/>
      <w:numPr>
        <w:ilvl w:val="4"/>
        <w:numId w:val="27"/>
      </w:numPr>
      <w:autoSpaceDE w:val="0"/>
      <w:autoSpaceDN w:val="0"/>
      <w:spacing w:before="50" w:beforeLines="50" w:after="50" w:afterLines="50"/>
    </w:pPr>
    <w:rPr>
      <w:rFonts w:ascii="黑体" w:eastAsia="黑体"/>
      <w:kern w:val="0"/>
      <w:szCs w:val="20"/>
    </w:rPr>
  </w:style>
  <w:style w:type="paragraph" w:customStyle="1" w:styleId="516">
    <w:name w:val="引言四级无标题条"/>
    <w:basedOn w:val="515"/>
    <w:next w:val="258"/>
    <w:qFormat/>
    <w:uiPriority w:val="0"/>
    <w:pPr>
      <w:spacing w:before="0" w:beforeLines="0" w:after="0" w:afterLines="0" w:line="276" w:lineRule="auto"/>
    </w:pPr>
    <w:rPr>
      <w:rFonts w:ascii="宋体" w:eastAsia="宋体"/>
    </w:rPr>
  </w:style>
  <w:style w:type="paragraph" w:customStyle="1" w:styleId="517">
    <w:name w:val="引言五级条标题"/>
    <w:basedOn w:val="1"/>
    <w:next w:val="258"/>
    <w:qFormat/>
    <w:uiPriority w:val="0"/>
    <w:pPr>
      <w:widowControl/>
      <w:numPr>
        <w:ilvl w:val="5"/>
        <w:numId w:val="27"/>
      </w:numPr>
      <w:autoSpaceDE w:val="0"/>
      <w:autoSpaceDN w:val="0"/>
      <w:spacing w:before="50" w:beforeLines="50" w:after="50" w:afterLines="50"/>
    </w:pPr>
    <w:rPr>
      <w:rFonts w:ascii="黑体" w:eastAsia="黑体"/>
      <w:kern w:val="0"/>
      <w:szCs w:val="20"/>
    </w:rPr>
  </w:style>
  <w:style w:type="paragraph" w:customStyle="1" w:styleId="518">
    <w:name w:val="引言五级无标题条"/>
    <w:basedOn w:val="517"/>
    <w:next w:val="258"/>
    <w:qFormat/>
    <w:uiPriority w:val="0"/>
    <w:pPr>
      <w:spacing w:before="0" w:beforeLines="0" w:after="0" w:afterLines="0" w:line="276" w:lineRule="auto"/>
    </w:pPr>
    <w:rPr>
      <w:rFonts w:ascii="宋体" w:eastAsia="宋体"/>
    </w:rPr>
  </w:style>
  <w:style w:type="paragraph" w:customStyle="1" w:styleId="519">
    <w:name w:val="引言一级条标题"/>
    <w:basedOn w:val="1"/>
    <w:next w:val="258"/>
    <w:qFormat/>
    <w:uiPriority w:val="0"/>
    <w:pPr>
      <w:widowControl/>
      <w:numPr>
        <w:ilvl w:val="1"/>
        <w:numId w:val="27"/>
      </w:numPr>
      <w:autoSpaceDE w:val="0"/>
      <w:autoSpaceDN w:val="0"/>
      <w:spacing w:before="50" w:beforeLines="50" w:after="50" w:afterLines="50"/>
    </w:pPr>
    <w:rPr>
      <w:rFonts w:ascii="黑体" w:eastAsia="黑体"/>
      <w:kern w:val="0"/>
      <w:szCs w:val="20"/>
    </w:rPr>
  </w:style>
  <w:style w:type="paragraph" w:customStyle="1" w:styleId="520">
    <w:name w:val="引言一级无标题条"/>
    <w:basedOn w:val="519"/>
    <w:next w:val="258"/>
    <w:qFormat/>
    <w:uiPriority w:val="0"/>
    <w:pPr>
      <w:spacing w:before="0" w:beforeLines="0" w:after="0" w:afterLines="0" w:line="276" w:lineRule="auto"/>
    </w:pPr>
    <w:rPr>
      <w:rFonts w:ascii="宋体" w:eastAsia="宋体"/>
    </w:rPr>
  </w:style>
  <w:style w:type="paragraph" w:customStyle="1" w:styleId="521">
    <w:name w:val="前言标题"/>
    <w:next w:val="1"/>
    <w:qFormat/>
    <w:uiPriority w:val="0"/>
    <w:pPr>
      <w:numPr>
        <w:ilvl w:val="0"/>
        <w:numId w:val="28"/>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522">
    <w:name w:val="列项·（二级）"/>
    <w:basedOn w:val="325"/>
    <w:qFormat/>
    <w:uiPriority w:val="0"/>
    <w:pPr>
      <w:ind w:left="1260" w:leftChars="400" w:hanging="420"/>
    </w:pPr>
  </w:style>
  <w:style w:type="paragraph" w:customStyle="1" w:styleId="523">
    <w:name w:val="列项——（二级）"/>
    <w:basedOn w:val="285"/>
    <w:qFormat/>
    <w:uiPriority w:val="0"/>
    <w:pPr>
      <w:ind w:left="1260" w:leftChars="400" w:hanging="200" w:hangingChars="200"/>
    </w:pPr>
  </w:style>
  <w:style w:type="paragraph" w:customStyle="1" w:styleId="524">
    <w:name w:val="参考文献编号"/>
    <w:basedOn w:val="258"/>
    <w:qFormat/>
    <w:uiPriority w:val="0"/>
    <w:pPr>
      <w:numPr>
        <w:ilvl w:val="0"/>
        <w:numId w:val="29"/>
      </w:numPr>
      <w:ind w:firstLine="420"/>
    </w:pPr>
  </w:style>
  <w:style w:type="paragraph" w:customStyle="1" w:styleId="525">
    <w:name w:val="表格正文"/>
    <w:basedOn w:val="1"/>
    <w:qFormat/>
    <w:uiPriority w:val="0"/>
    <w:rPr>
      <w:rFonts w:ascii="宋体"/>
      <w:sz w:val="18"/>
    </w:rPr>
  </w:style>
  <w:style w:type="paragraph" w:customStyle="1" w:styleId="526">
    <w:name w:val="表格段"/>
    <w:basedOn w:val="258"/>
    <w:qFormat/>
    <w:uiPriority w:val="0"/>
    <w:pPr>
      <w:ind w:firstLine="420"/>
    </w:pPr>
    <w:rPr>
      <w:sz w:val="18"/>
    </w:rPr>
  </w:style>
  <w:style w:type="paragraph" w:customStyle="1" w:styleId="527">
    <w:name w:val="表格脚注"/>
    <w:basedOn w:val="525"/>
    <w:next w:val="525"/>
    <w:qFormat/>
    <w:uiPriority w:val="0"/>
    <w:pPr>
      <w:numPr>
        <w:ilvl w:val="0"/>
        <w:numId w:val="30"/>
      </w:numPr>
      <w:adjustRightInd w:val="0"/>
      <w:jc w:val="left"/>
    </w:pPr>
    <w:rPr>
      <w:rFonts w:hAnsi="宋体"/>
      <w:szCs w:val="21"/>
    </w:rPr>
  </w:style>
  <w:style w:type="paragraph" w:customStyle="1" w:styleId="528">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1\AppData\Roaming\&#26631;&#20934;&#32534;&#20889;WPS\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28E8159288E40C2AB02C9C3B73C5026"/>
        <w:style w:val=""/>
        <w:category>
          <w:name w:val="常规"/>
          <w:gallery w:val="placeholder"/>
        </w:category>
        <w:types>
          <w:type w:val="bbPlcHdr"/>
        </w:types>
        <w:behaviors>
          <w:behavior w:val="content"/>
        </w:behaviors>
        <w:description w:val=""/>
        <w:guid w:val="{9C886A97-E205-4162-B765-439E8688C970}"/>
      </w:docPartPr>
      <w:docPartBody>
        <w:p>
          <w:pPr>
            <w:pStyle w:val="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B0"/>
    <w:rsid w:val="003F664C"/>
    <w:rsid w:val="00516E6A"/>
    <w:rsid w:val="006B2F09"/>
    <w:rsid w:val="00730FF9"/>
    <w:rsid w:val="00750431"/>
    <w:rsid w:val="00875C4A"/>
    <w:rsid w:val="00956608"/>
    <w:rsid w:val="009C741B"/>
    <w:rsid w:val="009F6678"/>
    <w:rsid w:val="00D55AD2"/>
    <w:rsid w:val="00DE6AB1"/>
    <w:rsid w:val="00E66E00"/>
    <w:rsid w:val="00FA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28E8159288E40C2AB02C9C3B73C502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56C92-4FC4-4F1A-89CA-6831313FE443}">
  <ds:schemaRefs/>
</ds:datastoreItem>
</file>

<file path=docProps/app.xml><?xml version="1.0" encoding="utf-8"?>
<Properties xmlns="http://schemas.openxmlformats.org/officeDocument/2006/extended-properties" xmlns:vt="http://schemas.openxmlformats.org/officeDocument/2006/docPropsVTypes">
  <Template>bzbx20</Template>
  <Pages>14</Pages>
  <Words>1302</Words>
  <Characters>7428</Characters>
  <Lines>61</Lines>
  <Paragraphs>17</Paragraphs>
  <TotalTime>1</TotalTime>
  <ScaleCrop>false</ScaleCrop>
  <LinksUpToDate>false</LinksUpToDate>
  <CharactersWithSpaces>8713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2023-10-13T04:51:00Z</dcterms:created>
  <dc:creator>ZhangXH</dc:creator>
  <cp:lastModifiedBy>admin</cp:lastModifiedBy>
  <cp:lastPrinted>2023-10-13T03:07:00Z</cp:lastPrinted>
  <dcterms:modified xsi:type="dcterms:W3CDTF">2023-10-17T00:16:59Z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D10C46D1FAC44836B863C038E5DAE2E0_13</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vt:lpwstr>
  </property>
  <property fmtid="{D5CDD505-2E9C-101B-9397-08002B2CF9AE}" pid="7" name="CCS" linkTarget="CCS">
    <vt:lpwstr>CCS</vt:lpwstr>
  </property>
  <property fmtid="{D5CDD505-2E9C-101B-9397-08002B2CF9AE}" pid="8" name="BAH" linkTarget="BAH">
    <vt:lpwstr>备案号：</vt:lpwstr>
  </property>
  <property fmtid="{D5CDD505-2E9C-101B-9397-08002B2CF9AE}" pid="9" name="BT" linkTarget="BT">
    <vt:lpwstr>团    体    标    准</vt:lpwstr>
  </property>
  <property fmtid="{D5CDD505-2E9C-101B-9397-08002B2CF9AE}" pid="10" name="BZBH" linkTarget="BZBH">
    <vt:lpwstr>T/XXX</vt:lpwstr>
  </property>
  <property fmtid="{D5CDD505-2E9C-101B-9397-08002B2CF9AE}" pid="11" name="TDBH" linkTarget="TDBH">
    <vt:lpwstr>代替 T/XXX</vt:lpwstr>
  </property>
  <property fmtid="{D5CDD505-2E9C-101B-9397-08002B2CF9AE}" pid="12" name="BZMC" linkTarget="BZMC">
    <vt:lpwstr>生物多样性友好的人工用材林培育技术指南</vt:lpwstr>
  </property>
  <property fmtid="{D5CDD505-2E9C-101B-9397-08002B2CF9AE}" pid="13" name="YWMC" linkTarget="YWMC">
    <vt:lpwstr>Technical guildlines for biodiversity friendly silviculture on timber plantation </vt:lpwstr>
  </property>
  <property fmtid="{D5CDD505-2E9C-101B-9397-08002B2CF9AE}" pid="14" name="CBCD" linkTarget="CBCD">
    <vt:lpwstr>（与国际标准一致性程度的标识）</vt:lpwstr>
  </property>
  <property fmtid="{D5CDD505-2E9C-101B-9397-08002B2CF9AE}" pid="15" name="WGLB" linkTarget="WGLB">
    <vt:lpwstr>（不设文稿类别）</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T/XXX</vt:lpwstr>
  </property>
  <property fmtid="{D5CDD505-2E9C-101B-9397-08002B2CF9AE}" pid="19" name="标准类型" linkTarget="标准类型">
    <vt:lpwstr>TB</vt:lpwstr>
  </property>
  <property fmtid="{D5CDD505-2E9C-101B-9397-08002B2CF9AE}" pid="20" name="FBDW" linkTarget="FBDW">
    <vt:lpwstr>中国林学会</vt:lpwstr>
  </property>
  <property fmtid="{D5CDD505-2E9C-101B-9397-08002B2CF9AE}" pid="21" name="IMAGE" linkTarget="IMAGE">
    <vt:lpwstr/>
  </property>
  <property fmtid="{D5CDD505-2E9C-101B-9397-08002B2CF9AE}" pid="22" name="KSOProductBuildVer">
    <vt:lpwstr>2052-12.1.0.15712</vt:lpwstr>
  </property>
</Properties>
</file>